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2B1C" w:rsidRDefault="008A2B1C">
      <w:pPr>
        <w:pStyle w:val="Standard"/>
        <w:ind w:left="-67"/>
        <w:rPr>
          <w:rFonts w:ascii="Arial" w:hAnsi="Arial" w:cs="Arial"/>
          <w:sz w:val="20"/>
          <w:szCs w:val="20"/>
        </w:rPr>
      </w:pPr>
    </w:p>
    <w:p w:rsidR="008A2B1C" w:rsidRDefault="008A2B1C">
      <w:pPr>
        <w:pStyle w:val="Standard"/>
        <w:rPr>
          <w:rFonts w:ascii="Arial" w:hAnsi="Arial" w:cs="Arial"/>
          <w:b/>
          <w:sz w:val="20"/>
          <w:szCs w:val="20"/>
        </w:rPr>
      </w:pPr>
    </w:p>
    <w:p w:rsidR="008A2B1C" w:rsidRDefault="008A2B1C">
      <w:pPr>
        <w:pStyle w:val="Standard"/>
        <w:rPr>
          <w:rFonts w:ascii="Arial" w:hAnsi="Arial" w:cs="Arial"/>
          <w:b/>
          <w:sz w:val="20"/>
          <w:szCs w:val="20"/>
        </w:rPr>
      </w:pPr>
    </w:p>
    <w:p w:rsidR="008D435E" w:rsidRDefault="008D435E">
      <w:pPr>
        <w:pStyle w:val="Standard"/>
        <w:rPr>
          <w:rFonts w:ascii="Arial" w:hAnsi="Arial" w:cs="Arial"/>
          <w:b/>
          <w:sz w:val="20"/>
          <w:szCs w:val="20"/>
        </w:rPr>
      </w:pPr>
    </w:p>
    <w:p w:rsidR="008D435E" w:rsidRDefault="008D435E">
      <w:pPr>
        <w:pStyle w:val="Standard"/>
        <w:rPr>
          <w:rFonts w:ascii="Arial" w:hAnsi="Arial" w:cs="Arial"/>
          <w:b/>
          <w:sz w:val="20"/>
          <w:szCs w:val="20"/>
        </w:rPr>
      </w:pPr>
    </w:p>
    <w:p w:rsidR="008D435E" w:rsidRDefault="008D435E">
      <w:pPr>
        <w:pStyle w:val="Standard"/>
        <w:rPr>
          <w:rFonts w:ascii="Arial" w:hAnsi="Arial" w:cs="Arial"/>
          <w:b/>
          <w:sz w:val="20"/>
          <w:szCs w:val="20"/>
        </w:rPr>
      </w:pPr>
    </w:p>
    <w:p w:rsidR="008D435E" w:rsidRDefault="008D435E">
      <w:pPr>
        <w:pStyle w:val="Standard"/>
        <w:rPr>
          <w:rFonts w:ascii="Arial" w:hAnsi="Arial" w:cs="Arial"/>
          <w:b/>
          <w:sz w:val="20"/>
          <w:szCs w:val="20"/>
        </w:rPr>
      </w:pPr>
    </w:p>
    <w:p w:rsidR="008D435E" w:rsidRDefault="008D435E">
      <w:pPr>
        <w:pStyle w:val="Standard"/>
        <w:rPr>
          <w:rFonts w:ascii="Arial" w:hAnsi="Arial" w:cs="Arial"/>
          <w:b/>
          <w:sz w:val="20"/>
          <w:szCs w:val="20"/>
        </w:rPr>
      </w:pPr>
    </w:p>
    <w:p w:rsidR="008D435E" w:rsidRDefault="008D435E">
      <w:pPr>
        <w:pStyle w:val="Standard"/>
        <w:rPr>
          <w:rFonts w:ascii="Arial" w:hAnsi="Arial" w:cs="Arial"/>
          <w:b/>
          <w:sz w:val="20"/>
          <w:szCs w:val="20"/>
        </w:rPr>
      </w:pPr>
    </w:p>
    <w:p w:rsidR="008D435E" w:rsidRDefault="008D435E">
      <w:pPr>
        <w:pStyle w:val="Standard"/>
        <w:rPr>
          <w:rFonts w:ascii="Arial" w:hAnsi="Arial" w:cs="Arial"/>
          <w:b/>
          <w:sz w:val="20"/>
          <w:szCs w:val="20"/>
        </w:rPr>
      </w:pPr>
    </w:p>
    <w:p w:rsidR="008D435E" w:rsidRDefault="008D435E">
      <w:pPr>
        <w:pStyle w:val="Standard"/>
        <w:rPr>
          <w:rFonts w:ascii="Arial" w:hAnsi="Arial" w:cs="Arial"/>
          <w:b/>
          <w:sz w:val="20"/>
          <w:szCs w:val="20"/>
        </w:rPr>
      </w:pPr>
    </w:p>
    <w:p w:rsidR="008D435E" w:rsidRDefault="008D435E">
      <w:pPr>
        <w:pStyle w:val="Standard"/>
        <w:rPr>
          <w:rFonts w:ascii="Arial" w:hAnsi="Arial" w:cs="Arial"/>
          <w:b/>
          <w:sz w:val="20"/>
          <w:szCs w:val="20"/>
        </w:rPr>
      </w:pPr>
    </w:p>
    <w:p w:rsidR="008D435E" w:rsidRDefault="008D435E">
      <w:pPr>
        <w:pStyle w:val="Standard"/>
        <w:rPr>
          <w:rFonts w:ascii="Arial" w:hAnsi="Arial" w:cs="Arial"/>
          <w:b/>
          <w:sz w:val="20"/>
          <w:szCs w:val="20"/>
        </w:rPr>
      </w:pPr>
    </w:p>
    <w:p w:rsidR="008D435E" w:rsidRDefault="008D435E">
      <w:pPr>
        <w:pStyle w:val="Standard"/>
        <w:rPr>
          <w:rFonts w:ascii="Arial" w:hAnsi="Arial" w:cs="Arial"/>
          <w:b/>
          <w:sz w:val="20"/>
          <w:szCs w:val="20"/>
        </w:rPr>
      </w:pPr>
    </w:p>
    <w:p w:rsidR="008D435E" w:rsidRDefault="008D435E">
      <w:pPr>
        <w:pStyle w:val="Standard"/>
        <w:rPr>
          <w:rFonts w:ascii="Arial" w:hAnsi="Arial" w:cs="Arial"/>
          <w:b/>
          <w:sz w:val="20"/>
          <w:szCs w:val="20"/>
        </w:rPr>
      </w:pPr>
    </w:p>
    <w:p w:rsidR="008D435E" w:rsidRDefault="008D435E">
      <w:pPr>
        <w:pStyle w:val="Standard"/>
        <w:rPr>
          <w:rFonts w:ascii="Arial" w:hAnsi="Arial" w:cs="Arial"/>
          <w:b/>
          <w:sz w:val="20"/>
          <w:szCs w:val="20"/>
        </w:rPr>
      </w:pPr>
    </w:p>
    <w:p w:rsidR="008D435E" w:rsidRPr="00FB317F" w:rsidRDefault="008D435E" w:rsidP="008D435E">
      <w:pPr>
        <w:spacing w:after="200" w:line="276" w:lineRule="auto"/>
        <w:jc w:val="center"/>
        <w:rPr>
          <w:rFonts w:ascii="Times New Roman" w:eastAsia="Calibri" w:hAnsi="Times New Roman"/>
          <w:b/>
          <w:sz w:val="40"/>
          <w:szCs w:val="40"/>
          <w:lang w:eastAsia="en-US"/>
        </w:rPr>
      </w:pPr>
      <w:r w:rsidRPr="00FB317F">
        <w:rPr>
          <w:rFonts w:ascii="Times New Roman" w:eastAsia="Calibri" w:hAnsi="Times New Roman"/>
          <w:b/>
          <w:sz w:val="40"/>
          <w:szCs w:val="40"/>
          <w:lang w:eastAsia="en-US"/>
        </w:rPr>
        <w:t>AKTUALIZACE FORESIGHTU</w:t>
      </w:r>
    </w:p>
    <w:p w:rsidR="008D435E" w:rsidRPr="00FB317F" w:rsidRDefault="008D435E" w:rsidP="004D0AA4">
      <w:pPr>
        <w:spacing w:after="200" w:line="276" w:lineRule="auto"/>
        <w:jc w:val="center"/>
        <w:rPr>
          <w:rFonts w:ascii="Times New Roman" w:eastAsia="Calibri" w:hAnsi="Times New Roman"/>
          <w:b/>
          <w:sz w:val="40"/>
          <w:szCs w:val="40"/>
          <w:lang w:eastAsia="en-US"/>
        </w:rPr>
      </w:pPr>
      <w:r w:rsidRPr="00FB317F">
        <w:rPr>
          <w:rFonts w:ascii="Times New Roman" w:eastAsia="Calibri" w:hAnsi="Times New Roman"/>
          <w:b/>
          <w:sz w:val="40"/>
          <w:szCs w:val="40"/>
          <w:lang w:eastAsia="en-US"/>
        </w:rPr>
        <w:t>TECHNOLOGICKÉ TRENDY V SILNIČNÍ DOPRAVĚ</w:t>
      </w:r>
    </w:p>
    <w:p w:rsidR="008D435E" w:rsidRPr="00FB317F" w:rsidRDefault="008D435E" w:rsidP="004D0AA4">
      <w:pPr>
        <w:spacing w:after="200" w:line="276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8A2B1C" w:rsidRPr="00FB317F" w:rsidRDefault="008D435E" w:rsidP="008D435E">
      <w:pPr>
        <w:pStyle w:val="Standard"/>
        <w:jc w:val="center"/>
        <w:rPr>
          <w:b/>
          <w:sz w:val="28"/>
          <w:szCs w:val="28"/>
        </w:rPr>
      </w:pPr>
      <w:r w:rsidRPr="00FB317F">
        <w:rPr>
          <w:b/>
          <w:sz w:val="28"/>
          <w:szCs w:val="28"/>
        </w:rPr>
        <w:t xml:space="preserve">OBLAST ALTERNATIVNÍ POHONNÉ HMOTY </w:t>
      </w:r>
      <w:r w:rsidR="00FE3F5A">
        <w:rPr>
          <w:b/>
          <w:sz w:val="28"/>
          <w:szCs w:val="28"/>
        </w:rPr>
        <w:br/>
      </w:r>
      <w:r w:rsidRPr="00FB317F">
        <w:rPr>
          <w:b/>
          <w:sz w:val="28"/>
          <w:szCs w:val="28"/>
        </w:rPr>
        <w:t>PRO SILNIČNÍ DOPRAVU</w:t>
      </w:r>
    </w:p>
    <w:p w:rsidR="008A2B1C" w:rsidRPr="00FB317F" w:rsidRDefault="008A2B1C">
      <w:pPr>
        <w:pStyle w:val="Standard"/>
        <w:rPr>
          <w:b/>
          <w:sz w:val="20"/>
          <w:szCs w:val="20"/>
        </w:rPr>
      </w:pPr>
    </w:p>
    <w:p w:rsidR="008A2B1C" w:rsidRPr="00FB317F" w:rsidRDefault="008A2B1C">
      <w:pPr>
        <w:pStyle w:val="Standard"/>
        <w:rPr>
          <w:b/>
          <w:sz w:val="20"/>
          <w:szCs w:val="20"/>
        </w:rPr>
      </w:pPr>
    </w:p>
    <w:p w:rsidR="008A2B1C" w:rsidRPr="00FB317F" w:rsidRDefault="008A2B1C">
      <w:pPr>
        <w:pStyle w:val="Standard"/>
        <w:rPr>
          <w:b/>
          <w:sz w:val="20"/>
          <w:szCs w:val="20"/>
        </w:rPr>
      </w:pPr>
    </w:p>
    <w:p w:rsidR="008A2B1C" w:rsidRPr="00FB317F" w:rsidRDefault="008A2B1C">
      <w:pPr>
        <w:pStyle w:val="Standard"/>
        <w:rPr>
          <w:b/>
          <w:sz w:val="20"/>
          <w:szCs w:val="20"/>
        </w:rPr>
      </w:pPr>
    </w:p>
    <w:p w:rsidR="009D1E69" w:rsidRPr="00FB317F" w:rsidRDefault="009D1E69">
      <w:pPr>
        <w:pStyle w:val="Standard"/>
        <w:rPr>
          <w:b/>
          <w:sz w:val="20"/>
          <w:szCs w:val="20"/>
        </w:rPr>
      </w:pPr>
    </w:p>
    <w:p w:rsidR="009D1E69" w:rsidRPr="00FB317F" w:rsidRDefault="009D1E69">
      <w:pPr>
        <w:pStyle w:val="Standard"/>
        <w:rPr>
          <w:b/>
          <w:sz w:val="20"/>
          <w:szCs w:val="20"/>
        </w:rPr>
      </w:pPr>
    </w:p>
    <w:p w:rsidR="009D1E69" w:rsidRPr="00FB317F" w:rsidRDefault="009D1E69">
      <w:pPr>
        <w:pStyle w:val="Standard"/>
        <w:rPr>
          <w:b/>
          <w:sz w:val="20"/>
          <w:szCs w:val="20"/>
        </w:rPr>
      </w:pPr>
    </w:p>
    <w:p w:rsidR="009D1E69" w:rsidRPr="00FB317F" w:rsidRDefault="009D1E69">
      <w:pPr>
        <w:pStyle w:val="Standard"/>
        <w:rPr>
          <w:b/>
          <w:sz w:val="20"/>
          <w:szCs w:val="20"/>
        </w:rPr>
      </w:pPr>
    </w:p>
    <w:p w:rsidR="009D1E69" w:rsidRPr="00FB317F" w:rsidRDefault="009D1E69">
      <w:pPr>
        <w:pStyle w:val="Standard"/>
        <w:rPr>
          <w:b/>
          <w:sz w:val="20"/>
          <w:szCs w:val="20"/>
        </w:rPr>
      </w:pPr>
    </w:p>
    <w:p w:rsidR="009D1E69" w:rsidRPr="00FB317F" w:rsidRDefault="009D1E69">
      <w:pPr>
        <w:pStyle w:val="Standard"/>
        <w:rPr>
          <w:b/>
          <w:sz w:val="20"/>
          <w:szCs w:val="20"/>
        </w:rPr>
      </w:pPr>
    </w:p>
    <w:p w:rsidR="009D1E69" w:rsidRPr="00FB317F" w:rsidRDefault="009D1E69">
      <w:pPr>
        <w:pStyle w:val="Standard"/>
        <w:rPr>
          <w:b/>
          <w:sz w:val="20"/>
          <w:szCs w:val="20"/>
        </w:rPr>
      </w:pPr>
    </w:p>
    <w:p w:rsidR="009D1E69" w:rsidRPr="00FB317F" w:rsidRDefault="009D1E69">
      <w:pPr>
        <w:pStyle w:val="Standard"/>
        <w:rPr>
          <w:b/>
          <w:sz w:val="20"/>
          <w:szCs w:val="20"/>
        </w:rPr>
      </w:pPr>
    </w:p>
    <w:p w:rsidR="009D1E69" w:rsidRPr="00FB317F" w:rsidRDefault="009D1E69">
      <w:pPr>
        <w:pStyle w:val="Standard"/>
        <w:rPr>
          <w:b/>
          <w:sz w:val="20"/>
          <w:szCs w:val="20"/>
        </w:rPr>
      </w:pPr>
    </w:p>
    <w:p w:rsidR="009D1E69" w:rsidRPr="00FB317F" w:rsidRDefault="009D1E69">
      <w:pPr>
        <w:pStyle w:val="Standard"/>
        <w:rPr>
          <w:b/>
          <w:sz w:val="20"/>
          <w:szCs w:val="20"/>
        </w:rPr>
      </w:pPr>
    </w:p>
    <w:p w:rsidR="009D1E69" w:rsidRPr="00FB317F" w:rsidRDefault="009D1E69">
      <w:pPr>
        <w:pStyle w:val="Standard"/>
        <w:rPr>
          <w:b/>
          <w:sz w:val="20"/>
          <w:szCs w:val="20"/>
        </w:rPr>
      </w:pPr>
    </w:p>
    <w:p w:rsidR="009D1E69" w:rsidRPr="00FB317F" w:rsidRDefault="009D1E69">
      <w:pPr>
        <w:pStyle w:val="Standard"/>
        <w:rPr>
          <w:b/>
          <w:sz w:val="20"/>
          <w:szCs w:val="20"/>
        </w:rPr>
      </w:pPr>
    </w:p>
    <w:p w:rsidR="009D1E69" w:rsidRPr="00FB317F" w:rsidRDefault="009D1E69">
      <w:pPr>
        <w:pStyle w:val="Standard"/>
        <w:rPr>
          <w:b/>
          <w:sz w:val="20"/>
          <w:szCs w:val="20"/>
        </w:rPr>
      </w:pPr>
    </w:p>
    <w:p w:rsidR="009D1E69" w:rsidRPr="00FB317F" w:rsidRDefault="009D1E69">
      <w:pPr>
        <w:pStyle w:val="Standard"/>
        <w:rPr>
          <w:b/>
          <w:sz w:val="20"/>
          <w:szCs w:val="20"/>
        </w:rPr>
      </w:pPr>
    </w:p>
    <w:p w:rsidR="008A2B1C" w:rsidRPr="00FB317F" w:rsidRDefault="00A90965" w:rsidP="009D1E69">
      <w:pPr>
        <w:widowControl/>
        <w:suppressAutoHyphens w:val="0"/>
        <w:autoSpaceDN/>
        <w:spacing w:after="200" w:line="276" w:lineRule="auto"/>
        <w:jc w:val="center"/>
        <w:textAlignment w:val="auto"/>
        <w:rPr>
          <w:rFonts w:ascii="Times New Roman" w:eastAsia="Calibri" w:hAnsi="Times New Roman"/>
          <w:kern w:val="0"/>
          <w:sz w:val="28"/>
          <w:szCs w:val="28"/>
          <w:lang w:eastAsia="en-US"/>
        </w:rPr>
      </w:pPr>
      <w:r w:rsidRPr="00FB317F">
        <w:rPr>
          <w:rFonts w:ascii="Times New Roman" w:eastAsia="Calibri" w:hAnsi="Times New Roman"/>
          <w:kern w:val="0"/>
          <w:sz w:val="28"/>
          <w:szCs w:val="28"/>
          <w:lang w:eastAsia="en-US"/>
        </w:rPr>
        <w:t>Česká asociace petrolejářského průmyslu a obchodu</w:t>
      </w:r>
    </w:p>
    <w:p w:rsidR="008A2B1C" w:rsidRPr="00FB317F" w:rsidRDefault="009D1E69" w:rsidP="009D1E69">
      <w:pPr>
        <w:pStyle w:val="Standard"/>
        <w:jc w:val="center"/>
        <w:rPr>
          <w:bCs/>
          <w:sz w:val="28"/>
          <w:szCs w:val="28"/>
        </w:rPr>
      </w:pPr>
      <w:r w:rsidRPr="00FB317F">
        <w:rPr>
          <w:bCs/>
          <w:sz w:val="28"/>
          <w:szCs w:val="28"/>
        </w:rPr>
        <w:t>k</w:t>
      </w:r>
      <w:r w:rsidR="00A90965" w:rsidRPr="00FB317F">
        <w:rPr>
          <w:bCs/>
          <w:sz w:val="28"/>
          <w:szCs w:val="28"/>
        </w:rPr>
        <w:t>věten 2020</w:t>
      </w:r>
    </w:p>
    <w:p w:rsidR="008A2B1C" w:rsidRPr="00FB317F" w:rsidRDefault="008A2B1C">
      <w:pPr>
        <w:pStyle w:val="Standard"/>
        <w:rPr>
          <w:b/>
          <w:sz w:val="20"/>
          <w:szCs w:val="20"/>
        </w:rPr>
      </w:pPr>
    </w:p>
    <w:p w:rsidR="008A2B1C" w:rsidRPr="00FB317F" w:rsidRDefault="008A2B1C">
      <w:pPr>
        <w:pStyle w:val="Standard"/>
        <w:rPr>
          <w:b/>
          <w:sz w:val="20"/>
          <w:szCs w:val="20"/>
        </w:rPr>
      </w:pPr>
    </w:p>
    <w:p w:rsidR="009D1E69" w:rsidRPr="00FB317F" w:rsidRDefault="009D1E69">
      <w:pPr>
        <w:pStyle w:val="Standard"/>
        <w:rPr>
          <w:b/>
          <w:sz w:val="20"/>
          <w:szCs w:val="20"/>
        </w:rPr>
      </w:pPr>
    </w:p>
    <w:p w:rsidR="009D1E69" w:rsidRPr="00FB317F" w:rsidRDefault="009D1E69">
      <w:pPr>
        <w:pStyle w:val="Standard"/>
        <w:rPr>
          <w:b/>
          <w:sz w:val="20"/>
          <w:szCs w:val="20"/>
        </w:rPr>
      </w:pPr>
    </w:p>
    <w:p w:rsidR="009D1E69" w:rsidRPr="00FB317F" w:rsidRDefault="009D1E69">
      <w:pPr>
        <w:pStyle w:val="Standard"/>
        <w:rPr>
          <w:b/>
          <w:sz w:val="20"/>
          <w:szCs w:val="20"/>
        </w:rPr>
      </w:pPr>
    </w:p>
    <w:p w:rsidR="009D1E69" w:rsidRPr="00FB317F" w:rsidRDefault="009D1E69">
      <w:pPr>
        <w:pStyle w:val="Standard"/>
        <w:rPr>
          <w:b/>
          <w:sz w:val="20"/>
          <w:szCs w:val="20"/>
        </w:rPr>
      </w:pPr>
    </w:p>
    <w:p w:rsidR="008A2B1C" w:rsidRPr="00FB317F" w:rsidRDefault="008A2B1C">
      <w:pPr>
        <w:pStyle w:val="Standard"/>
        <w:rPr>
          <w:b/>
          <w:sz w:val="20"/>
          <w:szCs w:val="20"/>
        </w:rPr>
      </w:pPr>
    </w:p>
    <w:p w:rsidR="008A2B1C" w:rsidRPr="00FB317F" w:rsidRDefault="008A2B1C">
      <w:pPr>
        <w:pStyle w:val="Standard"/>
        <w:rPr>
          <w:b/>
          <w:sz w:val="28"/>
          <w:szCs w:val="28"/>
        </w:rPr>
      </w:pPr>
    </w:p>
    <w:bookmarkStart w:id="0" w:name="_Toc24707374" w:displacedByCustomXml="next"/>
    <w:bookmarkStart w:id="1" w:name="_Toc24724309" w:displacedByCustomXml="next"/>
    <w:bookmarkStart w:id="2" w:name="_Toc527544550" w:displacedByCustomXml="next"/>
    <w:bookmarkStart w:id="3" w:name="_Toc526861138" w:displacedByCustomXml="next"/>
    <w:sdt>
      <w:sdtPr>
        <w:rPr>
          <w:rFonts w:ascii="Calibri" w:eastAsia="Times New Roman" w:hAnsi="Calibri" w:cs="Times New Roman"/>
          <w:color w:val="auto"/>
          <w:kern w:val="3"/>
          <w:sz w:val="22"/>
          <w:szCs w:val="22"/>
        </w:rPr>
        <w:id w:val="1271361039"/>
        <w:docPartObj>
          <w:docPartGallery w:val="Table of Contents"/>
          <w:docPartUnique/>
        </w:docPartObj>
      </w:sdtPr>
      <w:sdtEndPr>
        <w:rPr>
          <w:rFonts w:ascii="Times New Roman" w:hAnsi="Times New Roman"/>
          <w:b/>
          <w:bCs/>
          <w:sz w:val="24"/>
          <w:szCs w:val="24"/>
        </w:rPr>
      </w:sdtEndPr>
      <w:sdtContent>
        <w:p w:rsidR="005D1278" w:rsidRPr="00A549A1" w:rsidRDefault="005D1278" w:rsidP="00A549A1">
          <w:pPr>
            <w:pStyle w:val="Nadpisobsahu"/>
            <w:spacing w:after="240" w:line="240" w:lineRule="auto"/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</w:pPr>
          <w:r w:rsidRPr="00A549A1"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t>Obsah</w:t>
          </w:r>
        </w:p>
        <w:p w:rsidR="005D1278" w:rsidRPr="00966516" w:rsidRDefault="005D1278" w:rsidP="00BC73E1">
          <w:pPr>
            <w:pStyle w:val="Obsah1"/>
            <w:rPr>
              <w:rFonts w:eastAsiaTheme="minorEastAsia"/>
              <w:noProof/>
              <w:color w:val="auto"/>
              <w:kern w:val="0"/>
            </w:rPr>
          </w:pPr>
          <w:r w:rsidRPr="00966516">
            <w:fldChar w:fldCharType="begin"/>
          </w:r>
          <w:r w:rsidRPr="00966516">
            <w:instrText xml:space="preserve"> TOC \o "1-3" \h \z \u </w:instrText>
          </w:r>
          <w:r w:rsidRPr="00966516">
            <w:fldChar w:fldCharType="separate"/>
          </w:r>
          <w:hyperlink w:anchor="_Toc38023722" w:history="1">
            <w:r w:rsidRPr="00966516">
              <w:rPr>
                <w:rStyle w:val="Hypertextovodkaz"/>
                <w:noProof/>
                <w:szCs w:val="24"/>
              </w:rPr>
              <w:t>1.</w:t>
            </w:r>
            <w:r w:rsidRPr="00966516">
              <w:rPr>
                <w:rStyle w:val="Hypertextovodkaz"/>
                <w:noProof/>
                <w:szCs w:val="24"/>
              </w:rPr>
              <w:tab/>
              <w:t>Oblast Alternativní pohonné hmoty pro silniční dopravu</w:t>
            </w:r>
            <w:r w:rsidRPr="00966516">
              <w:rPr>
                <w:noProof/>
                <w:webHidden/>
              </w:rPr>
              <w:tab/>
            </w:r>
            <w:r w:rsidRPr="00966516">
              <w:rPr>
                <w:noProof/>
                <w:webHidden/>
              </w:rPr>
              <w:fldChar w:fldCharType="begin"/>
            </w:r>
            <w:r w:rsidRPr="00966516">
              <w:rPr>
                <w:noProof/>
                <w:webHidden/>
              </w:rPr>
              <w:instrText xml:space="preserve"> PAGEREF _Toc38023722 \h </w:instrText>
            </w:r>
            <w:r w:rsidRPr="00966516">
              <w:rPr>
                <w:noProof/>
                <w:webHidden/>
              </w:rPr>
            </w:r>
            <w:r w:rsidRPr="00966516">
              <w:rPr>
                <w:noProof/>
                <w:webHidden/>
              </w:rPr>
              <w:fldChar w:fldCharType="separate"/>
            </w:r>
            <w:r w:rsidR="003B21B2">
              <w:rPr>
                <w:noProof/>
                <w:webHidden/>
              </w:rPr>
              <w:t>3</w:t>
            </w:r>
            <w:r w:rsidRPr="00966516">
              <w:rPr>
                <w:noProof/>
                <w:webHidden/>
              </w:rPr>
              <w:fldChar w:fldCharType="end"/>
            </w:r>
          </w:hyperlink>
        </w:p>
        <w:p w:rsidR="005D1278" w:rsidRPr="00966516" w:rsidRDefault="00C3625F" w:rsidP="000C57C6">
          <w:pPr>
            <w:pStyle w:val="Obsah2"/>
            <w:rPr>
              <w:rFonts w:eastAsiaTheme="minorEastAsia"/>
              <w:color w:val="auto"/>
              <w:kern w:val="0"/>
            </w:rPr>
          </w:pPr>
          <w:hyperlink w:anchor="_Toc38023723" w:history="1">
            <w:r w:rsidR="005D1278" w:rsidRPr="00966516">
              <w:rPr>
                <w:rStyle w:val="Hypertextovodkaz"/>
              </w:rPr>
              <w:t>Úvod</w:t>
            </w:r>
            <w:r w:rsidR="005D1278" w:rsidRPr="00966516">
              <w:rPr>
                <w:webHidden/>
              </w:rPr>
              <w:tab/>
            </w:r>
            <w:r w:rsidR="005D1278" w:rsidRPr="00966516">
              <w:rPr>
                <w:webHidden/>
              </w:rPr>
              <w:fldChar w:fldCharType="begin"/>
            </w:r>
            <w:r w:rsidR="005D1278" w:rsidRPr="00966516">
              <w:rPr>
                <w:webHidden/>
              </w:rPr>
              <w:instrText xml:space="preserve"> PAGEREF _Toc38023723 \h </w:instrText>
            </w:r>
            <w:r w:rsidR="005D1278" w:rsidRPr="00966516">
              <w:rPr>
                <w:webHidden/>
              </w:rPr>
            </w:r>
            <w:r w:rsidR="005D1278" w:rsidRPr="00966516">
              <w:rPr>
                <w:webHidden/>
              </w:rPr>
              <w:fldChar w:fldCharType="separate"/>
            </w:r>
            <w:r w:rsidR="003B21B2">
              <w:rPr>
                <w:webHidden/>
              </w:rPr>
              <w:t>3</w:t>
            </w:r>
            <w:r w:rsidR="005D1278" w:rsidRPr="00966516">
              <w:rPr>
                <w:webHidden/>
              </w:rPr>
              <w:fldChar w:fldCharType="end"/>
            </w:r>
          </w:hyperlink>
        </w:p>
        <w:p w:rsidR="005D1278" w:rsidRPr="00966516" w:rsidRDefault="00C3625F" w:rsidP="000C57C6">
          <w:pPr>
            <w:pStyle w:val="Obsah2"/>
            <w:tabs>
              <w:tab w:val="clear" w:pos="851"/>
              <w:tab w:val="left" w:pos="794"/>
            </w:tabs>
            <w:ind w:left="794" w:hanging="437"/>
            <w:rPr>
              <w:rFonts w:eastAsiaTheme="minorEastAsia"/>
              <w:color w:val="auto"/>
              <w:kern w:val="0"/>
            </w:rPr>
          </w:pPr>
          <w:hyperlink w:anchor="_Toc38023724" w:history="1">
            <w:r w:rsidR="005D1278" w:rsidRPr="00966516">
              <w:rPr>
                <w:rStyle w:val="Hypertextovodkaz"/>
              </w:rPr>
              <w:t>1.1</w:t>
            </w:r>
            <w:r w:rsidR="005D1278" w:rsidRPr="00966516">
              <w:rPr>
                <w:rFonts w:eastAsiaTheme="minorEastAsia"/>
                <w:color w:val="auto"/>
                <w:kern w:val="0"/>
              </w:rPr>
              <w:tab/>
            </w:r>
            <w:r w:rsidR="005D1278" w:rsidRPr="00966516">
              <w:rPr>
                <w:rStyle w:val="Hypertextovodkaz"/>
                <w:u w:val="none"/>
              </w:rPr>
              <w:t>Charakteristika</w:t>
            </w:r>
            <w:r w:rsidR="005D1278" w:rsidRPr="00966516">
              <w:rPr>
                <w:rStyle w:val="Hypertextovodkaz"/>
              </w:rPr>
              <w:t xml:space="preserve"> legislativních, průmyslových a společenských změn se zohledněním stavu v letech 2019 až 2020</w:t>
            </w:r>
            <w:r w:rsidR="005D1278" w:rsidRPr="00966516">
              <w:rPr>
                <w:webHidden/>
              </w:rPr>
              <w:tab/>
            </w:r>
            <w:r w:rsidR="005D1278" w:rsidRPr="00966516">
              <w:rPr>
                <w:webHidden/>
              </w:rPr>
              <w:fldChar w:fldCharType="begin"/>
            </w:r>
            <w:r w:rsidR="005D1278" w:rsidRPr="00966516">
              <w:rPr>
                <w:webHidden/>
              </w:rPr>
              <w:instrText xml:space="preserve"> PAGEREF _Toc38023724 \h </w:instrText>
            </w:r>
            <w:r w:rsidR="005D1278" w:rsidRPr="00966516">
              <w:rPr>
                <w:webHidden/>
              </w:rPr>
            </w:r>
            <w:r w:rsidR="005D1278" w:rsidRPr="00966516">
              <w:rPr>
                <w:webHidden/>
              </w:rPr>
              <w:fldChar w:fldCharType="separate"/>
            </w:r>
            <w:r w:rsidR="003B21B2">
              <w:rPr>
                <w:webHidden/>
              </w:rPr>
              <w:t>3</w:t>
            </w:r>
            <w:r w:rsidR="005D1278" w:rsidRPr="00966516">
              <w:rPr>
                <w:webHidden/>
              </w:rPr>
              <w:fldChar w:fldCharType="end"/>
            </w:r>
          </w:hyperlink>
        </w:p>
        <w:p w:rsidR="005D1278" w:rsidRPr="00966516" w:rsidRDefault="00C3625F" w:rsidP="00BC73E1">
          <w:pPr>
            <w:pStyle w:val="Obsah1"/>
            <w:tabs>
              <w:tab w:val="clear" w:pos="1560"/>
              <w:tab w:val="left" w:pos="1418"/>
            </w:tabs>
            <w:ind w:left="1418" w:hanging="624"/>
            <w:rPr>
              <w:rFonts w:eastAsiaTheme="minorEastAsia"/>
              <w:noProof/>
              <w:color w:val="auto"/>
              <w:kern w:val="0"/>
            </w:rPr>
          </w:pPr>
          <w:hyperlink w:anchor="_Toc38023725" w:history="1">
            <w:r w:rsidR="005D1278" w:rsidRPr="00966516">
              <w:rPr>
                <w:rStyle w:val="Hypertextovodkaz"/>
                <w:noProof/>
                <w:szCs w:val="24"/>
              </w:rPr>
              <w:t>1.1.1</w:t>
            </w:r>
            <w:r w:rsidR="000C57C6">
              <w:rPr>
                <w:rStyle w:val="Hypertextovodkaz"/>
                <w:noProof/>
                <w:szCs w:val="24"/>
              </w:rPr>
              <w:tab/>
            </w:r>
            <w:r w:rsidR="005D1278" w:rsidRPr="00966516">
              <w:rPr>
                <w:rStyle w:val="Hypertextovodkaz"/>
                <w:noProof/>
                <w:szCs w:val="24"/>
              </w:rPr>
              <w:t>Charakteristika společenských (politických) změn</w:t>
            </w:r>
            <w:r w:rsidR="005D1278" w:rsidRPr="00966516">
              <w:rPr>
                <w:noProof/>
                <w:webHidden/>
              </w:rPr>
              <w:tab/>
            </w:r>
            <w:r w:rsidR="005D1278" w:rsidRPr="00966516">
              <w:rPr>
                <w:noProof/>
                <w:webHidden/>
              </w:rPr>
              <w:fldChar w:fldCharType="begin"/>
            </w:r>
            <w:r w:rsidR="005D1278" w:rsidRPr="00966516">
              <w:rPr>
                <w:noProof/>
                <w:webHidden/>
              </w:rPr>
              <w:instrText xml:space="preserve"> PAGEREF _Toc38023725 \h </w:instrText>
            </w:r>
            <w:r w:rsidR="005D1278" w:rsidRPr="00966516">
              <w:rPr>
                <w:noProof/>
                <w:webHidden/>
              </w:rPr>
            </w:r>
            <w:r w:rsidR="005D1278" w:rsidRPr="00966516">
              <w:rPr>
                <w:noProof/>
                <w:webHidden/>
              </w:rPr>
              <w:fldChar w:fldCharType="separate"/>
            </w:r>
            <w:r w:rsidR="003B21B2">
              <w:rPr>
                <w:noProof/>
                <w:webHidden/>
              </w:rPr>
              <w:t>3</w:t>
            </w:r>
            <w:r w:rsidR="005D1278" w:rsidRPr="00966516">
              <w:rPr>
                <w:noProof/>
                <w:webHidden/>
              </w:rPr>
              <w:fldChar w:fldCharType="end"/>
            </w:r>
          </w:hyperlink>
        </w:p>
        <w:p w:rsidR="005D1278" w:rsidRPr="00966516" w:rsidRDefault="00C3625F" w:rsidP="00BC73E1">
          <w:pPr>
            <w:pStyle w:val="Obsah1"/>
            <w:tabs>
              <w:tab w:val="clear" w:pos="1560"/>
              <w:tab w:val="left" w:pos="1418"/>
            </w:tabs>
            <w:ind w:left="1418" w:hanging="624"/>
            <w:rPr>
              <w:rFonts w:eastAsiaTheme="minorEastAsia"/>
              <w:noProof/>
            </w:rPr>
          </w:pPr>
          <w:hyperlink w:anchor="_Toc38023726" w:history="1">
            <w:r w:rsidR="005D1278" w:rsidRPr="00966516">
              <w:rPr>
                <w:rFonts w:eastAsiaTheme="minorEastAsia"/>
                <w:noProof/>
              </w:rPr>
              <w:t>1.1.2</w:t>
            </w:r>
            <w:r w:rsidR="005D1278" w:rsidRPr="00966516">
              <w:rPr>
                <w:rFonts w:eastAsiaTheme="minorEastAsia"/>
                <w:noProof/>
              </w:rPr>
              <w:tab/>
              <w:t>Charakteristika legislativních změn</w:t>
            </w:r>
            <w:r w:rsidR="005D1278" w:rsidRPr="00966516">
              <w:rPr>
                <w:rFonts w:eastAsiaTheme="minorEastAsia"/>
                <w:noProof/>
                <w:webHidden/>
              </w:rPr>
              <w:tab/>
            </w:r>
            <w:r w:rsidR="005D1278" w:rsidRPr="00966516">
              <w:rPr>
                <w:rFonts w:eastAsiaTheme="minorEastAsia"/>
                <w:noProof/>
                <w:webHidden/>
              </w:rPr>
              <w:fldChar w:fldCharType="begin"/>
            </w:r>
            <w:r w:rsidR="005D1278" w:rsidRPr="00966516">
              <w:rPr>
                <w:rFonts w:eastAsiaTheme="minorEastAsia"/>
                <w:noProof/>
                <w:webHidden/>
              </w:rPr>
              <w:instrText xml:space="preserve"> PAGEREF _Toc38023726 \h </w:instrText>
            </w:r>
            <w:r w:rsidR="005D1278" w:rsidRPr="00966516">
              <w:rPr>
                <w:rFonts w:eastAsiaTheme="minorEastAsia"/>
                <w:noProof/>
                <w:webHidden/>
              </w:rPr>
            </w:r>
            <w:r w:rsidR="005D1278" w:rsidRPr="00966516">
              <w:rPr>
                <w:rFonts w:eastAsiaTheme="minorEastAsia"/>
                <w:noProof/>
                <w:webHidden/>
              </w:rPr>
              <w:fldChar w:fldCharType="separate"/>
            </w:r>
            <w:r w:rsidR="003B21B2">
              <w:rPr>
                <w:rFonts w:eastAsiaTheme="minorEastAsia"/>
                <w:noProof/>
                <w:webHidden/>
              </w:rPr>
              <w:t>4</w:t>
            </w:r>
            <w:r w:rsidR="005D1278" w:rsidRPr="00966516">
              <w:rPr>
                <w:rFonts w:eastAsiaTheme="minorEastAsia"/>
                <w:noProof/>
                <w:webHidden/>
              </w:rPr>
              <w:fldChar w:fldCharType="end"/>
            </w:r>
          </w:hyperlink>
        </w:p>
        <w:p w:rsidR="005D1278" w:rsidRPr="00966516" w:rsidRDefault="00C3625F" w:rsidP="00BC73E1">
          <w:pPr>
            <w:pStyle w:val="Obsah1"/>
            <w:tabs>
              <w:tab w:val="clear" w:pos="1560"/>
              <w:tab w:val="left" w:pos="1418"/>
            </w:tabs>
            <w:ind w:left="1418" w:hanging="624"/>
            <w:rPr>
              <w:rFonts w:eastAsiaTheme="minorEastAsia"/>
              <w:noProof/>
            </w:rPr>
          </w:pPr>
          <w:hyperlink w:anchor="_Toc38023727" w:history="1">
            <w:r w:rsidR="005D1278" w:rsidRPr="00966516">
              <w:rPr>
                <w:rFonts w:eastAsiaTheme="minorEastAsia"/>
                <w:noProof/>
              </w:rPr>
              <w:t>1.1.3</w:t>
            </w:r>
            <w:r w:rsidR="005D1278" w:rsidRPr="00966516">
              <w:rPr>
                <w:rFonts w:eastAsiaTheme="minorEastAsia"/>
                <w:noProof/>
              </w:rPr>
              <w:tab/>
              <w:t>Charakteristika průmyslových změn</w:t>
            </w:r>
            <w:r w:rsidR="005D1278" w:rsidRPr="00966516">
              <w:rPr>
                <w:rFonts w:eastAsiaTheme="minorEastAsia"/>
                <w:noProof/>
                <w:webHidden/>
              </w:rPr>
              <w:tab/>
            </w:r>
            <w:r w:rsidR="005D1278" w:rsidRPr="00966516">
              <w:rPr>
                <w:rFonts w:eastAsiaTheme="minorEastAsia"/>
                <w:noProof/>
                <w:webHidden/>
              </w:rPr>
              <w:fldChar w:fldCharType="begin"/>
            </w:r>
            <w:r w:rsidR="005D1278" w:rsidRPr="00966516">
              <w:rPr>
                <w:rFonts w:eastAsiaTheme="minorEastAsia"/>
                <w:noProof/>
                <w:webHidden/>
              </w:rPr>
              <w:instrText xml:space="preserve"> PAGEREF _Toc38023727 \h </w:instrText>
            </w:r>
            <w:r w:rsidR="005D1278" w:rsidRPr="00966516">
              <w:rPr>
                <w:rFonts w:eastAsiaTheme="minorEastAsia"/>
                <w:noProof/>
                <w:webHidden/>
              </w:rPr>
            </w:r>
            <w:r w:rsidR="005D1278" w:rsidRPr="00966516">
              <w:rPr>
                <w:rFonts w:eastAsiaTheme="minorEastAsia"/>
                <w:noProof/>
                <w:webHidden/>
              </w:rPr>
              <w:fldChar w:fldCharType="separate"/>
            </w:r>
            <w:r w:rsidR="003B21B2">
              <w:rPr>
                <w:rFonts w:eastAsiaTheme="minorEastAsia"/>
                <w:noProof/>
                <w:webHidden/>
              </w:rPr>
              <w:t>5</w:t>
            </w:r>
            <w:r w:rsidR="005D1278" w:rsidRPr="00966516">
              <w:rPr>
                <w:rFonts w:eastAsiaTheme="minorEastAsia"/>
                <w:noProof/>
                <w:webHidden/>
              </w:rPr>
              <w:fldChar w:fldCharType="end"/>
            </w:r>
          </w:hyperlink>
        </w:p>
        <w:p w:rsidR="005D1278" w:rsidRPr="00966516" w:rsidRDefault="00C3625F" w:rsidP="00BC73E1">
          <w:pPr>
            <w:pStyle w:val="Obsah1"/>
            <w:tabs>
              <w:tab w:val="clear" w:pos="1560"/>
              <w:tab w:val="left" w:pos="1418"/>
            </w:tabs>
            <w:ind w:left="1418" w:hanging="624"/>
            <w:rPr>
              <w:rFonts w:eastAsiaTheme="minorEastAsia"/>
              <w:noProof/>
            </w:rPr>
          </w:pPr>
          <w:hyperlink w:anchor="_Toc38023728" w:history="1">
            <w:r w:rsidR="005D1278" w:rsidRPr="00966516">
              <w:rPr>
                <w:rFonts w:eastAsiaTheme="minorEastAsia"/>
                <w:noProof/>
              </w:rPr>
              <w:t>1.1.4</w:t>
            </w:r>
            <w:r w:rsidR="005D1278" w:rsidRPr="00966516">
              <w:rPr>
                <w:rFonts w:eastAsiaTheme="minorEastAsia"/>
                <w:noProof/>
              </w:rPr>
              <w:tab/>
              <w:t xml:space="preserve">Základní scénář konkretizace opatření vnitrostátního plánu v oblasti </w:t>
            </w:r>
            <w:r w:rsidR="00966516">
              <w:rPr>
                <w:rFonts w:eastAsiaTheme="minorEastAsia"/>
                <w:noProof/>
              </w:rPr>
              <w:br/>
            </w:r>
            <w:r w:rsidR="005D1278" w:rsidRPr="00966516">
              <w:rPr>
                <w:rFonts w:eastAsiaTheme="minorEastAsia"/>
                <w:noProof/>
              </w:rPr>
              <w:t>energetiky a klimatu ČR</w:t>
            </w:r>
            <w:r w:rsidR="005D1278" w:rsidRPr="00966516">
              <w:rPr>
                <w:rFonts w:eastAsiaTheme="minorEastAsia"/>
                <w:noProof/>
                <w:webHidden/>
              </w:rPr>
              <w:tab/>
            </w:r>
            <w:r w:rsidR="005D1278" w:rsidRPr="00966516">
              <w:rPr>
                <w:rFonts w:eastAsiaTheme="minorEastAsia"/>
                <w:noProof/>
                <w:webHidden/>
              </w:rPr>
              <w:fldChar w:fldCharType="begin"/>
            </w:r>
            <w:r w:rsidR="005D1278" w:rsidRPr="00966516">
              <w:rPr>
                <w:rFonts w:eastAsiaTheme="minorEastAsia"/>
                <w:noProof/>
                <w:webHidden/>
              </w:rPr>
              <w:instrText xml:space="preserve"> PAGEREF _Toc38023728 \h </w:instrText>
            </w:r>
            <w:r w:rsidR="005D1278" w:rsidRPr="00966516">
              <w:rPr>
                <w:rFonts w:eastAsiaTheme="minorEastAsia"/>
                <w:noProof/>
                <w:webHidden/>
              </w:rPr>
            </w:r>
            <w:r w:rsidR="005D1278" w:rsidRPr="00966516">
              <w:rPr>
                <w:rFonts w:eastAsiaTheme="minorEastAsia"/>
                <w:noProof/>
                <w:webHidden/>
              </w:rPr>
              <w:fldChar w:fldCharType="separate"/>
            </w:r>
            <w:r w:rsidR="003B21B2">
              <w:rPr>
                <w:rFonts w:eastAsiaTheme="minorEastAsia"/>
                <w:noProof/>
                <w:webHidden/>
              </w:rPr>
              <w:t>5</w:t>
            </w:r>
            <w:r w:rsidR="005D1278" w:rsidRPr="00966516">
              <w:rPr>
                <w:rFonts w:eastAsiaTheme="minorEastAsia"/>
                <w:noProof/>
                <w:webHidden/>
              </w:rPr>
              <w:fldChar w:fldCharType="end"/>
            </w:r>
          </w:hyperlink>
        </w:p>
        <w:p w:rsidR="005D1278" w:rsidRPr="00966516" w:rsidRDefault="00C3625F" w:rsidP="000C57C6">
          <w:pPr>
            <w:pStyle w:val="Obsah2"/>
            <w:tabs>
              <w:tab w:val="clear" w:pos="851"/>
              <w:tab w:val="left" w:pos="794"/>
            </w:tabs>
            <w:ind w:left="794" w:hanging="437"/>
            <w:rPr>
              <w:rFonts w:eastAsiaTheme="minorEastAsia"/>
              <w:color w:val="auto"/>
              <w:kern w:val="0"/>
            </w:rPr>
          </w:pPr>
          <w:hyperlink w:anchor="_Toc38023729" w:history="1">
            <w:r w:rsidR="005D1278" w:rsidRPr="00966516">
              <w:rPr>
                <w:rStyle w:val="Hypertextovodkaz"/>
              </w:rPr>
              <w:t>1.2</w:t>
            </w:r>
            <w:r w:rsidR="005D1278" w:rsidRPr="00966516">
              <w:rPr>
                <w:rFonts w:eastAsiaTheme="minorEastAsia"/>
                <w:color w:val="auto"/>
                <w:kern w:val="0"/>
              </w:rPr>
              <w:tab/>
            </w:r>
            <w:r w:rsidR="005D1278" w:rsidRPr="000C57C6">
              <w:rPr>
                <w:rStyle w:val="Hypertextovodkaz"/>
                <w:u w:val="none"/>
              </w:rPr>
              <w:t>Popis</w:t>
            </w:r>
            <w:r w:rsidR="005D1278" w:rsidRPr="00966516">
              <w:rPr>
                <w:rStyle w:val="Hypertextovodkaz"/>
              </w:rPr>
              <w:t xml:space="preserve"> hlavních trendů technologického vývoje s ohledem na vývoj v letech 2019–2020</w:t>
            </w:r>
            <w:r w:rsidR="005D1278" w:rsidRPr="00966516">
              <w:rPr>
                <w:webHidden/>
              </w:rPr>
              <w:tab/>
            </w:r>
            <w:r w:rsidR="005D1278" w:rsidRPr="00966516">
              <w:rPr>
                <w:webHidden/>
              </w:rPr>
              <w:fldChar w:fldCharType="begin"/>
            </w:r>
            <w:r w:rsidR="005D1278" w:rsidRPr="00966516">
              <w:rPr>
                <w:webHidden/>
              </w:rPr>
              <w:instrText xml:space="preserve"> PAGEREF _Toc38023729 \h </w:instrText>
            </w:r>
            <w:r w:rsidR="005D1278" w:rsidRPr="00966516">
              <w:rPr>
                <w:webHidden/>
              </w:rPr>
            </w:r>
            <w:r w:rsidR="005D1278" w:rsidRPr="00966516">
              <w:rPr>
                <w:webHidden/>
              </w:rPr>
              <w:fldChar w:fldCharType="separate"/>
            </w:r>
            <w:r w:rsidR="003B21B2">
              <w:rPr>
                <w:webHidden/>
              </w:rPr>
              <w:t>6</w:t>
            </w:r>
            <w:r w:rsidR="005D1278" w:rsidRPr="00966516">
              <w:rPr>
                <w:webHidden/>
              </w:rPr>
              <w:fldChar w:fldCharType="end"/>
            </w:r>
          </w:hyperlink>
        </w:p>
        <w:p w:rsidR="005D1278" w:rsidRPr="00966516" w:rsidRDefault="00C3625F" w:rsidP="00BC73E1">
          <w:pPr>
            <w:pStyle w:val="Obsah1"/>
            <w:tabs>
              <w:tab w:val="clear" w:pos="1560"/>
              <w:tab w:val="left" w:pos="1418"/>
            </w:tabs>
            <w:ind w:left="1418" w:hanging="624"/>
            <w:rPr>
              <w:rFonts w:eastAsiaTheme="minorEastAsia"/>
              <w:noProof/>
              <w:color w:val="auto"/>
              <w:kern w:val="0"/>
            </w:rPr>
          </w:pPr>
          <w:hyperlink w:anchor="_Toc38023730" w:history="1">
            <w:r w:rsidR="005D1278" w:rsidRPr="00966516">
              <w:rPr>
                <w:rStyle w:val="Hypertextovodkaz"/>
                <w:noProof/>
                <w:szCs w:val="24"/>
              </w:rPr>
              <w:t>1.2.1</w:t>
            </w:r>
            <w:r w:rsidR="005D1278" w:rsidRPr="00966516">
              <w:rPr>
                <w:rFonts w:eastAsiaTheme="minorEastAsia"/>
                <w:noProof/>
                <w:color w:val="auto"/>
                <w:kern w:val="0"/>
              </w:rPr>
              <w:tab/>
            </w:r>
            <w:r w:rsidR="005D1278" w:rsidRPr="00BC73E1">
              <w:rPr>
                <w:rStyle w:val="Hypertextovodkaz"/>
                <w:noProof/>
                <w:szCs w:val="24"/>
              </w:rPr>
              <w:t>Normalizace</w:t>
            </w:r>
            <w:r w:rsidR="005D1278" w:rsidRPr="00966516">
              <w:rPr>
                <w:rStyle w:val="Hypertextovodkaz"/>
                <w:noProof/>
                <w:szCs w:val="24"/>
              </w:rPr>
              <w:t xml:space="preserve"> budoucích motorových paliv pro spalovací motory z pohledu CEN</w:t>
            </w:r>
            <w:r w:rsidR="005D1278" w:rsidRPr="00966516">
              <w:rPr>
                <w:noProof/>
                <w:webHidden/>
              </w:rPr>
              <w:tab/>
            </w:r>
            <w:r w:rsidR="005D1278" w:rsidRPr="00966516">
              <w:rPr>
                <w:noProof/>
                <w:webHidden/>
              </w:rPr>
              <w:fldChar w:fldCharType="begin"/>
            </w:r>
            <w:r w:rsidR="005D1278" w:rsidRPr="00966516">
              <w:rPr>
                <w:noProof/>
                <w:webHidden/>
              </w:rPr>
              <w:instrText xml:space="preserve"> PAGEREF _Toc38023730 \h </w:instrText>
            </w:r>
            <w:r w:rsidR="005D1278" w:rsidRPr="00966516">
              <w:rPr>
                <w:noProof/>
                <w:webHidden/>
              </w:rPr>
            </w:r>
            <w:r w:rsidR="005D1278" w:rsidRPr="00966516">
              <w:rPr>
                <w:noProof/>
                <w:webHidden/>
              </w:rPr>
              <w:fldChar w:fldCharType="separate"/>
            </w:r>
            <w:r w:rsidR="003B21B2">
              <w:rPr>
                <w:noProof/>
                <w:webHidden/>
              </w:rPr>
              <w:t>6</w:t>
            </w:r>
            <w:r w:rsidR="005D1278" w:rsidRPr="00966516">
              <w:rPr>
                <w:noProof/>
                <w:webHidden/>
              </w:rPr>
              <w:fldChar w:fldCharType="end"/>
            </w:r>
          </w:hyperlink>
        </w:p>
        <w:p w:rsidR="005D1278" w:rsidRPr="00966516" w:rsidRDefault="00C3625F" w:rsidP="00BC73E1">
          <w:pPr>
            <w:pStyle w:val="Obsah1"/>
            <w:tabs>
              <w:tab w:val="clear" w:pos="1560"/>
              <w:tab w:val="left" w:pos="1418"/>
            </w:tabs>
            <w:ind w:left="1418" w:hanging="624"/>
            <w:rPr>
              <w:rFonts w:eastAsiaTheme="minorEastAsia"/>
              <w:noProof/>
              <w:color w:val="auto"/>
              <w:kern w:val="0"/>
            </w:rPr>
          </w:pPr>
          <w:hyperlink w:anchor="_Toc38023731" w:history="1">
            <w:r w:rsidR="005D1278" w:rsidRPr="00966516">
              <w:rPr>
                <w:rStyle w:val="Hypertextovodkaz"/>
                <w:noProof/>
                <w:szCs w:val="24"/>
              </w:rPr>
              <w:t>1.2.2</w:t>
            </w:r>
            <w:r w:rsidR="005D1278" w:rsidRPr="00966516">
              <w:rPr>
                <w:rFonts w:eastAsiaTheme="minorEastAsia"/>
                <w:noProof/>
                <w:color w:val="auto"/>
                <w:kern w:val="0"/>
              </w:rPr>
              <w:tab/>
            </w:r>
            <w:r w:rsidR="005D1278" w:rsidRPr="00BC73E1">
              <w:rPr>
                <w:rStyle w:val="Hypertextovodkaz"/>
                <w:noProof/>
                <w:szCs w:val="24"/>
              </w:rPr>
              <w:t>Přehled</w:t>
            </w:r>
            <w:r w:rsidR="005D1278" w:rsidRPr="00966516">
              <w:rPr>
                <w:rStyle w:val="Hypertextovodkaz"/>
                <w:noProof/>
                <w:szCs w:val="24"/>
              </w:rPr>
              <w:t xml:space="preserve"> technologií s vysokým potenciálem splnění cílů OZE a GHG do roku 2030</w:t>
            </w:r>
            <w:r w:rsidR="005D1278" w:rsidRPr="00966516">
              <w:rPr>
                <w:noProof/>
                <w:webHidden/>
              </w:rPr>
              <w:tab/>
            </w:r>
            <w:r w:rsidR="005D1278" w:rsidRPr="00966516">
              <w:rPr>
                <w:noProof/>
                <w:webHidden/>
              </w:rPr>
              <w:fldChar w:fldCharType="begin"/>
            </w:r>
            <w:r w:rsidR="005D1278" w:rsidRPr="00966516">
              <w:rPr>
                <w:noProof/>
                <w:webHidden/>
              </w:rPr>
              <w:instrText xml:space="preserve"> PAGEREF _Toc38023731 \h </w:instrText>
            </w:r>
            <w:r w:rsidR="005D1278" w:rsidRPr="00966516">
              <w:rPr>
                <w:noProof/>
                <w:webHidden/>
              </w:rPr>
            </w:r>
            <w:r w:rsidR="005D1278" w:rsidRPr="00966516">
              <w:rPr>
                <w:noProof/>
                <w:webHidden/>
              </w:rPr>
              <w:fldChar w:fldCharType="separate"/>
            </w:r>
            <w:r w:rsidR="003B21B2">
              <w:rPr>
                <w:noProof/>
                <w:webHidden/>
              </w:rPr>
              <w:t>7</w:t>
            </w:r>
            <w:r w:rsidR="005D1278" w:rsidRPr="00966516">
              <w:rPr>
                <w:noProof/>
                <w:webHidden/>
              </w:rPr>
              <w:fldChar w:fldCharType="end"/>
            </w:r>
          </w:hyperlink>
        </w:p>
        <w:p w:rsidR="005D1278" w:rsidRPr="00966516" w:rsidRDefault="00C3625F" w:rsidP="000C57C6">
          <w:pPr>
            <w:pStyle w:val="Obsah2"/>
            <w:tabs>
              <w:tab w:val="clear" w:pos="851"/>
              <w:tab w:val="left" w:pos="794"/>
            </w:tabs>
            <w:ind w:left="794" w:hanging="437"/>
            <w:rPr>
              <w:rFonts w:eastAsiaTheme="minorEastAsia"/>
              <w:color w:val="auto"/>
              <w:kern w:val="0"/>
            </w:rPr>
          </w:pPr>
          <w:hyperlink w:anchor="_Toc38023732" w:history="1">
            <w:r w:rsidR="005D1278" w:rsidRPr="00966516">
              <w:rPr>
                <w:rStyle w:val="Hypertextovodkaz"/>
              </w:rPr>
              <w:t>1.3</w:t>
            </w:r>
            <w:r w:rsidR="005D1278" w:rsidRPr="00966516">
              <w:rPr>
                <w:rFonts w:eastAsiaTheme="minorEastAsia"/>
                <w:color w:val="auto"/>
                <w:kern w:val="0"/>
              </w:rPr>
              <w:tab/>
            </w:r>
            <w:r w:rsidR="005D1278" w:rsidRPr="000C57C6">
              <w:rPr>
                <w:rStyle w:val="Hypertextovodkaz"/>
                <w:u w:val="none"/>
              </w:rPr>
              <w:t>Identifikace</w:t>
            </w:r>
            <w:r w:rsidR="005D1278" w:rsidRPr="00966516">
              <w:rPr>
                <w:rStyle w:val="Hypertextovodkaz"/>
              </w:rPr>
              <w:t xml:space="preserve"> vhodných způsobů uplatnění nových technologií a přístupů včetně</w:t>
            </w:r>
            <w:r w:rsidR="00966516">
              <w:rPr>
                <w:rStyle w:val="Hypertextovodkaz"/>
              </w:rPr>
              <w:br/>
            </w:r>
            <w:r w:rsidR="005D1278" w:rsidRPr="00966516">
              <w:rPr>
                <w:rStyle w:val="Hypertextovodkaz"/>
              </w:rPr>
              <w:t>barier bránících jejich uplatnění v praxi</w:t>
            </w:r>
            <w:r w:rsidR="005D1278" w:rsidRPr="00966516">
              <w:rPr>
                <w:webHidden/>
              </w:rPr>
              <w:tab/>
            </w:r>
            <w:r w:rsidR="005D1278" w:rsidRPr="00966516">
              <w:rPr>
                <w:webHidden/>
              </w:rPr>
              <w:fldChar w:fldCharType="begin"/>
            </w:r>
            <w:r w:rsidR="005D1278" w:rsidRPr="00966516">
              <w:rPr>
                <w:webHidden/>
              </w:rPr>
              <w:instrText xml:space="preserve"> PAGEREF _Toc38023732 \h </w:instrText>
            </w:r>
            <w:r w:rsidR="005D1278" w:rsidRPr="00966516">
              <w:rPr>
                <w:webHidden/>
              </w:rPr>
            </w:r>
            <w:r w:rsidR="005D1278" w:rsidRPr="00966516">
              <w:rPr>
                <w:webHidden/>
              </w:rPr>
              <w:fldChar w:fldCharType="separate"/>
            </w:r>
            <w:r w:rsidR="003B21B2">
              <w:rPr>
                <w:webHidden/>
              </w:rPr>
              <w:t>9</w:t>
            </w:r>
            <w:r w:rsidR="005D1278" w:rsidRPr="00966516">
              <w:rPr>
                <w:webHidden/>
              </w:rPr>
              <w:fldChar w:fldCharType="end"/>
            </w:r>
          </w:hyperlink>
        </w:p>
        <w:p w:rsidR="005D1278" w:rsidRPr="00966516" w:rsidRDefault="00C3625F" w:rsidP="00BC73E1">
          <w:pPr>
            <w:pStyle w:val="Obsah1"/>
            <w:tabs>
              <w:tab w:val="clear" w:pos="1560"/>
              <w:tab w:val="left" w:pos="1418"/>
            </w:tabs>
            <w:ind w:left="1418" w:hanging="624"/>
            <w:rPr>
              <w:rFonts w:eastAsiaTheme="minorEastAsia"/>
              <w:noProof/>
              <w:color w:val="auto"/>
              <w:kern w:val="0"/>
            </w:rPr>
          </w:pPr>
          <w:hyperlink w:anchor="_Toc38023733" w:history="1">
            <w:r w:rsidR="005D1278" w:rsidRPr="00966516">
              <w:rPr>
                <w:rStyle w:val="Hypertextovodkaz"/>
                <w:noProof/>
                <w:szCs w:val="24"/>
              </w:rPr>
              <w:t>1.3.1</w:t>
            </w:r>
            <w:r w:rsidR="005D1278" w:rsidRPr="00966516">
              <w:rPr>
                <w:rFonts w:eastAsiaTheme="minorEastAsia"/>
                <w:noProof/>
                <w:color w:val="auto"/>
                <w:kern w:val="0"/>
              </w:rPr>
              <w:tab/>
              <w:t>Perspektivní</w:t>
            </w:r>
            <w:r w:rsidR="005D1278" w:rsidRPr="00966516">
              <w:rPr>
                <w:rStyle w:val="Hypertextovodkaz"/>
                <w:noProof/>
                <w:szCs w:val="24"/>
              </w:rPr>
              <w:t xml:space="preserve"> technologie alternativních paliv pro silniční dopravu v ČR</w:t>
            </w:r>
            <w:r w:rsidR="005D1278" w:rsidRPr="00966516">
              <w:rPr>
                <w:noProof/>
                <w:webHidden/>
              </w:rPr>
              <w:tab/>
            </w:r>
            <w:r w:rsidR="005D1278" w:rsidRPr="00966516">
              <w:rPr>
                <w:noProof/>
                <w:webHidden/>
              </w:rPr>
              <w:fldChar w:fldCharType="begin"/>
            </w:r>
            <w:r w:rsidR="005D1278" w:rsidRPr="00966516">
              <w:rPr>
                <w:noProof/>
                <w:webHidden/>
              </w:rPr>
              <w:instrText xml:space="preserve"> PAGEREF _Toc38023733 \h </w:instrText>
            </w:r>
            <w:r w:rsidR="005D1278" w:rsidRPr="00966516">
              <w:rPr>
                <w:noProof/>
                <w:webHidden/>
              </w:rPr>
            </w:r>
            <w:r w:rsidR="005D1278" w:rsidRPr="00966516">
              <w:rPr>
                <w:noProof/>
                <w:webHidden/>
              </w:rPr>
              <w:fldChar w:fldCharType="separate"/>
            </w:r>
            <w:r w:rsidR="003B21B2">
              <w:rPr>
                <w:noProof/>
                <w:webHidden/>
              </w:rPr>
              <w:t>10</w:t>
            </w:r>
            <w:r w:rsidR="005D1278" w:rsidRPr="00966516">
              <w:rPr>
                <w:noProof/>
                <w:webHidden/>
              </w:rPr>
              <w:fldChar w:fldCharType="end"/>
            </w:r>
          </w:hyperlink>
        </w:p>
        <w:p w:rsidR="005D1278" w:rsidRPr="00966516" w:rsidRDefault="00C3625F" w:rsidP="00BC73E1">
          <w:pPr>
            <w:pStyle w:val="Obsah1"/>
            <w:tabs>
              <w:tab w:val="clear" w:pos="1560"/>
              <w:tab w:val="left" w:pos="1418"/>
            </w:tabs>
            <w:ind w:left="1418" w:hanging="624"/>
            <w:rPr>
              <w:rFonts w:eastAsiaTheme="minorEastAsia"/>
              <w:noProof/>
              <w:color w:val="auto"/>
              <w:kern w:val="0"/>
            </w:rPr>
          </w:pPr>
          <w:hyperlink w:anchor="_Toc38023734" w:history="1">
            <w:r w:rsidR="005D1278" w:rsidRPr="00966516">
              <w:rPr>
                <w:rStyle w:val="Hypertextovodkaz"/>
                <w:noProof/>
                <w:szCs w:val="24"/>
              </w:rPr>
              <w:t>1.3.2</w:t>
            </w:r>
            <w:r w:rsidR="005D1278" w:rsidRPr="00966516">
              <w:rPr>
                <w:rFonts w:eastAsiaTheme="minorEastAsia"/>
                <w:noProof/>
                <w:color w:val="auto"/>
                <w:kern w:val="0"/>
              </w:rPr>
              <w:tab/>
              <w:t>Realistická</w:t>
            </w:r>
            <w:r w:rsidR="005D1278" w:rsidRPr="00966516">
              <w:rPr>
                <w:rStyle w:val="Hypertextovodkaz"/>
                <w:noProof/>
                <w:szCs w:val="24"/>
              </w:rPr>
              <w:t xml:space="preserve"> opatření k dosažení cílů RED I do roku 2020</w:t>
            </w:r>
            <w:r w:rsidR="005D1278" w:rsidRPr="00966516">
              <w:rPr>
                <w:noProof/>
                <w:webHidden/>
              </w:rPr>
              <w:tab/>
            </w:r>
            <w:r w:rsidR="005D1278" w:rsidRPr="00966516">
              <w:rPr>
                <w:noProof/>
                <w:webHidden/>
              </w:rPr>
              <w:fldChar w:fldCharType="begin"/>
            </w:r>
            <w:r w:rsidR="005D1278" w:rsidRPr="00966516">
              <w:rPr>
                <w:noProof/>
                <w:webHidden/>
              </w:rPr>
              <w:instrText xml:space="preserve"> PAGEREF _Toc38023734 \h </w:instrText>
            </w:r>
            <w:r w:rsidR="005D1278" w:rsidRPr="00966516">
              <w:rPr>
                <w:noProof/>
                <w:webHidden/>
              </w:rPr>
            </w:r>
            <w:r w:rsidR="005D1278" w:rsidRPr="00966516">
              <w:rPr>
                <w:noProof/>
                <w:webHidden/>
              </w:rPr>
              <w:fldChar w:fldCharType="separate"/>
            </w:r>
            <w:r w:rsidR="003B21B2">
              <w:rPr>
                <w:noProof/>
                <w:webHidden/>
              </w:rPr>
              <w:t>12</w:t>
            </w:r>
            <w:r w:rsidR="005D1278" w:rsidRPr="00966516">
              <w:rPr>
                <w:noProof/>
                <w:webHidden/>
              </w:rPr>
              <w:fldChar w:fldCharType="end"/>
            </w:r>
          </w:hyperlink>
        </w:p>
        <w:p w:rsidR="005D1278" w:rsidRPr="00966516" w:rsidRDefault="00C3625F" w:rsidP="000C57C6">
          <w:pPr>
            <w:pStyle w:val="Obsah2"/>
            <w:rPr>
              <w:rFonts w:eastAsiaTheme="minorEastAsia"/>
              <w:color w:val="auto"/>
              <w:kern w:val="0"/>
            </w:rPr>
          </w:pPr>
          <w:hyperlink w:anchor="_Toc38023735" w:history="1">
            <w:r w:rsidR="005D1278" w:rsidRPr="00966516">
              <w:rPr>
                <w:rStyle w:val="Hypertextovodkaz"/>
              </w:rPr>
              <w:t>1.4</w:t>
            </w:r>
            <w:r w:rsidR="005D1278" w:rsidRPr="00966516">
              <w:rPr>
                <w:rFonts w:eastAsiaTheme="minorEastAsia"/>
                <w:color w:val="auto"/>
                <w:kern w:val="0"/>
              </w:rPr>
              <w:tab/>
            </w:r>
            <w:r w:rsidR="005D1278" w:rsidRPr="00966516">
              <w:rPr>
                <w:rStyle w:val="Hypertextovodkaz"/>
              </w:rPr>
              <w:t>Shrnutí</w:t>
            </w:r>
            <w:r w:rsidR="005D1278" w:rsidRPr="00966516">
              <w:rPr>
                <w:webHidden/>
              </w:rPr>
              <w:tab/>
            </w:r>
            <w:r w:rsidR="005D1278" w:rsidRPr="00966516">
              <w:rPr>
                <w:webHidden/>
              </w:rPr>
              <w:fldChar w:fldCharType="begin"/>
            </w:r>
            <w:r w:rsidR="005D1278" w:rsidRPr="00966516">
              <w:rPr>
                <w:webHidden/>
              </w:rPr>
              <w:instrText xml:space="preserve"> PAGEREF _Toc38023735 \h </w:instrText>
            </w:r>
            <w:r w:rsidR="005D1278" w:rsidRPr="00966516">
              <w:rPr>
                <w:webHidden/>
              </w:rPr>
            </w:r>
            <w:r w:rsidR="005D1278" w:rsidRPr="00966516">
              <w:rPr>
                <w:webHidden/>
              </w:rPr>
              <w:fldChar w:fldCharType="separate"/>
            </w:r>
            <w:r w:rsidR="003B21B2">
              <w:rPr>
                <w:webHidden/>
              </w:rPr>
              <w:t>12</w:t>
            </w:r>
            <w:r w:rsidR="005D1278" w:rsidRPr="00966516">
              <w:rPr>
                <w:webHidden/>
              </w:rPr>
              <w:fldChar w:fldCharType="end"/>
            </w:r>
          </w:hyperlink>
        </w:p>
        <w:p w:rsidR="005D1278" w:rsidRPr="00966516" w:rsidRDefault="00C3625F" w:rsidP="000C57C6">
          <w:pPr>
            <w:pStyle w:val="Obsah2"/>
            <w:rPr>
              <w:rFonts w:eastAsiaTheme="minorEastAsia"/>
              <w:color w:val="auto"/>
              <w:kern w:val="0"/>
            </w:rPr>
          </w:pPr>
          <w:hyperlink w:anchor="_Toc38023736" w:history="1">
            <w:r w:rsidR="005D1278" w:rsidRPr="00966516">
              <w:rPr>
                <w:rStyle w:val="Hypertextovodkaz"/>
              </w:rPr>
              <w:t>Příloha</w:t>
            </w:r>
            <w:r w:rsidR="005D1278" w:rsidRPr="00966516">
              <w:rPr>
                <w:webHidden/>
              </w:rPr>
              <w:tab/>
            </w:r>
            <w:r w:rsidR="005D1278" w:rsidRPr="00966516">
              <w:rPr>
                <w:webHidden/>
              </w:rPr>
              <w:fldChar w:fldCharType="begin"/>
            </w:r>
            <w:r w:rsidR="005D1278" w:rsidRPr="00966516">
              <w:rPr>
                <w:webHidden/>
              </w:rPr>
              <w:instrText xml:space="preserve"> PAGEREF _Toc38023736 \h </w:instrText>
            </w:r>
            <w:r w:rsidR="005D1278" w:rsidRPr="00966516">
              <w:rPr>
                <w:webHidden/>
              </w:rPr>
            </w:r>
            <w:r w:rsidR="005D1278" w:rsidRPr="00966516">
              <w:rPr>
                <w:webHidden/>
              </w:rPr>
              <w:fldChar w:fldCharType="separate"/>
            </w:r>
            <w:r w:rsidR="003B21B2">
              <w:rPr>
                <w:webHidden/>
              </w:rPr>
              <w:t>15</w:t>
            </w:r>
            <w:r w:rsidR="005D1278" w:rsidRPr="00966516">
              <w:rPr>
                <w:webHidden/>
              </w:rPr>
              <w:fldChar w:fldCharType="end"/>
            </w:r>
          </w:hyperlink>
        </w:p>
        <w:p w:rsidR="005D1278" w:rsidRPr="00966516" w:rsidRDefault="00C3625F" w:rsidP="000C57C6">
          <w:pPr>
            <w:pStyle w:val="Obsah2"/>
            <w:rPr>
              <w:rFonts w:eastAsiaTheme="minorEastAsia"/>
              <w:color w:val="auto"/>
              <w:kern w:val="0"/>
            </w:rPr>
          </w:pPr>
          <w:hyperlink w:anchor="_Toc38023737" w:history="1">
            <w:r w:rsidR="005D1278" w:rsidRPr="00966516">
              <w:rPr>
                <w:rStyle w:val="Hypertextovodkaz"/>
              </w:rPr>
              <w:t>Seznam zkratek</w:t>
            </w:r>
            <w:r w:rsidR="005D1278" w:rsidRPr="00966516">
              <w:rPr>
                <w:webHidden/>
              </w:rPr>
              <w:tab/>
            </w:r>
            <w:r w:rsidR="005D1278" w:rsidRPr="00966516">
              <w:rPr>
                <w:webHidden/>
              </w:rPr>
              <w:fldChar w:fldCharType="begin"/>
            </w:r>
            <w:r w:rsidR="005D1278" w:rsidRPr="00966516">
              <w:rPr>
                <w:webHidden/>
              </w:rPr>
              <w:instrText xml:space="preserve"> PAGEREF _Toc38023737 \h </w:instrText>
            </w:r>
            <w:r w:rsidR="005D1278" w:rsidRPr="00966516">
              <w:rPr>
                <w:webHidden/>
              </w:rPr>
            </w:r>
            <w:r w:rsidR="005D1278" w:rsidRPr="00966516">
              <w:rPr>
                <w:webHidden/>
              </w:rPr>
              <w:fldChar w:fldCharType="separate"/>
            </w:r>
            <w:r w:rsidR="003B21B2">
              <w:rPr>
                <w:webHidden/>
              </w:rPr>
              <w:t>18</w:t>
            </w:r>
            <w:r w:rsidR="005D1278" w:rsidRPr="00966516">
              <w:rPr>
                <w:webHidden/>
              </w:rPr>
              <w:fldChar w:fldCharType="end"/>
            </w:r>
          </w:hyperlink>
        </w:p>
        <w:p w:rsidR="005D1278" w:rsidRPr="00966516" w:rsidRDefault="00C3625F" w:rsidP="000C57C6">
          <w:pPr>
            <w:pStyle w:val="Obsah2"/>
            <w:rPr>
              <w:rFonts w:eastAsiaTheme="minorEastAsia"/>
              <w:color w:val="auto"/>
              <w:kern w:val="0"/>
            </w:rPr>
          </w:pPr>
          <w:hyperlink w:anchor="_Toc38023738" w:history="1">
            <w:r w:rsidR="005D1278" w:rsidRPr="00966516">
              <w:rPr>
                <w:rStyle w:val="Hypertextovodkaz"/>
              </w:rPr>
              <w:t>Seznam použité literatury</w:t>
            </w:r>
            <w:r w:rsidR="005D1278" w:rsidRPr="00966516">
              <w:rPr>
                <w:webHidden/>
              </w:rPr>
              <w:tab/>
            </w:r>
            <w:r w:rsidR="005D1278" w:rsidRPr="00966516">
              <w:rPr>
                <w:webHidden/>
              </w:rPr>
              <w:fldChar w:fldCharType="begin"/>
            </w:r>
            <w:r w:rsidR="005D1278" w:rsidRPr="00966516">
              <w:rPr>
                <w:webHidden/>
              </w:rPr>
              <w:instrText xml:space="preserve"> PAGEREF _Toc38023738 \h </w:instrText>
            </w:r>
            <w:r w:rsidR="005D1278" w:rsidRPr="00966516">
              <w:rPr>
                <w:webHidden/>
              </w:rPr>
            </w:r>
            <w:r w:rsidR="005D1278" w:rsidRPr="00966516">
              <w:rPr>
                <w:webHidden/>
              </w:rPr>
              <w:fldChar w:fldCharType="separate"/>
            </w:r>
            <w:r w:rsidR="003B21B2">
              <w:rPr>
                <w:webHidden/>
              </w:rPr>
              <w:t>19</w:t>
            </w:r>
            <w:r w:rsidR="005D1278" w:rsidRPr="00966516">
              <w:rPr>
                <w:webHidden/>
              </w:rPr>
              <w:fldChar w:fldCharType="end"/>
            </w:r>
          </w:hyperlink>
        </w:p>
        <w:p w:rsidR="005D1278" w:rsidRPr="00966516" w:rsidRDefault="005D1278">
          <w:pPr>
            <w:rPr>
              <w:rFonts w:ascii="Times New Roman" w:hAnsi="Times New Roman"/>
              <w:sz w:val="24"/>
              <w:szCs w:val="24"/>
            </w:rPr>
          </w:pPr>
          <w:r w:rsidRPr="00966516">
            <w:rPr>
              <w:rFonts w:ascii="Times New Roman" w:hAnsi="Times New Roman"/>
              <w:b/>
              <w:bCs/>
              <w:sz w:val="24"/>
              <w:szCs w:val="24"/>
            </w:rPr>
            <w:fldChar w:fldCharType="end"/>
          </w:r>
        </w:p>
      </w:sdtContent>
    </w:sdt>
    <w:p w:rsidR="005D1278" w:rsidRDefault="005D1278" w:rsidP="00DA5816">
      <w:pPr>
        <w:pStyle w:val="Nadpis1"/>
      </w:pPr>
      <w:r>
        <w:br w:type="page"/>
      </w:r>
    </w:p>
    <w:p w:rsidR="007B6C8C" w:rsidRDefault="007B6C8C" w:rsidP="00DA5816">
      <w:pPr>
        <w:pStyle w:val="Nadpis1"/>
      </w:pPr>
    </w:p>
    <w:p w:rsidR="00DA5816" w:rsidRPr="00FB317F" w:rsidRDefault="00DA5816" w:rsidP="00DA5816">
      <w:pPr>
        <w:pStyle w:val="Nadpis1"/>
      </w:pPr>
      <w:bookmarkStart w:id="4" w:name="_1._Oblast_Alternativní"/>
      <w:bookmarkStart w:id="5" w:name="_Toc38019647"/>
      <w:bookmarkStart w:id="6" w:name="_Toc38019710"/>
      <w:bookmarkStart w:id="7" w:name="_Toc38023722"/>
      <w:bookmarkEnd w:id="4"/>
      <w:r w:rsidRPr="00FB317F">
        <w:t>1.</w:t>
      </w:r>
      <w:r w:rsidRPr="00FB317F">
        <w:tab/>
        <w:t>Oblast Alternativní pohonné hmoty pro silniční dopravu</w:t>
      </w:r>
      <w:bookmarkEnd w:id="1"/>
      <w:bookmarkEnd w:id="0"/>
      <w:bookmarkEnd w:id="5"/>
      <w:bookmarkEnd w:id="6"/>
      <w:bookmarkEnd w:id="7"/>
    </w:p>
    <w:p w:rsidR="008A2B1C" w:rsidRPr="00FB317F" w:rsidRDefault="00A90965" w:rsidP="00C82B4F">
      <w:pPr>
        <w:pStyle w:val="Nadpis2"/>
      </w:pPr>
      <w:bookmarkStart w:id="8" w:name="_Úvod"/>
      <w:bookmarkStart w:id="9" w:name="_Toc38019648"/>
      <w:bookmarkStart w:id="10" w:name="_Toc38019711"/>
      <w:bookmarkStart w:id="11" w:name="_Toc38023723"/>
      <w:bookmarkEnd w:id="8"/>
      <w:r w:rsidRPr="00FB317F">
        <w:t>Úvod</w:t>
      </w:r>
      <w:bookmarkEnd w:id="3"/>
      <w:bookmarkEnd w:id="2"/>
      <w:bookmarkEnd w:id="9"/>
      <w:bookmarkEnd w:id="10"/>
      <w:bookmarkEnd w:id="11"/>
    </w:p>
    <w:p w:rsidR="008A2B1C" w:rsidRPr="00FB317F" w:rsidRDefault="00A90965" w:rsidP="008365CE">
      <w:pPr>
        <w:pStyle w:val="Standard"/>
        <w:spacing w:after="20"/>
        <w:rPr>
          <w:szCs w:val="24"/>
        </w:rPr>
      </w:pPr>
      <w:r w:rsidRPr="00FB317F">
        <w:rPr>
          <w:szCs w:val="24"/>
        </w:rPr>
        <w:t>V Úředním věstníku EU byla dne 21.</w:t>
      </w:r>
      <w:r w:rsidR="00C82B4F" w:rsidRPr="00FB317F">
        <w:rPr>
          <w:szCs w:val="24"/>
        </w:rPr>
        <w:t> </w:t>
      </w:r>
      <w:r w:rsidRPr="00FB317F">
        <w:rPr>
          <w:szCs w:val="24"/>
        </w:rPr>
        <w:t>12.</w:t>
      </w:r>
      <w:r w:rsidR="00C82B4F" w:rsidRPr="00FB317F">
        <w:rPr>
          <w:szCs w:val="24"/>
        </w:rPr>
        <w:t> </w:t>
      </w:r>
      <w:r w:rsidRPr="00FB317F">
        <w:rPr>
          <w:szCs w:val="24"/>
        </w:rPr>
        <w:t>2018 zveřejněna Směrnice Evropského parlamentu a</w:t>
      </w:r>
      <w:r w:rsidR="00C82B4F" w:rsidRPr="00FB317F">
        <w:rPr>
          <w:szCs w:val="24"/>
        </w:rPr>
        <w:t> </w:t>
      </w:r>
      <w:r w:rsidRPr="00FB317F">
        <w:rPr>
          <w:szCs w:val="24"/>
        </w:rPr>
        <w:t xml:space="preserve">Rady (EU) 2018/2001 ze dne 11. </w:t>
      </w:r>
      <w:r w:rsidR="00273CE5" w:rsidRPr="00FB317F">
        <w:rPr>
          <w:szCs w:val="24"/>
        </w:rPr>
        <w:t>12.</w:t>
      </w:r>
      <w:r w:rsidRPr="00FB317F">
        <w:rPr>
          <w:szCs w:val="24"/>
        </w:rPr>
        <w:t xml:space="preserve"> 2018 o podpoře využívání energie z obnovitelných zdrojů (L328). Jedná se o text s významem pro EHP. Směrnice definuje cíle podpory využívání energie z OZE v členských státech pro období 2021 až 2030.</w:t>
      </w:r>
    </w:p>
    <w:p w:rsidR="008A2B1C" w:rsidRPr="00FB317F" w:rsidRDefault="00A90965" w:rsidP="008365CE">
      <w:pPr>
        <w:pStyle w:val="Standard"/>
        <w:spacing w:after="20"/>
        <w:rPr>
          <w:szCs w:val="24"/>
        </w:rPr>
      </w:pPr>
      <w:r w:rsidRPr="00FB317F">
        <w:rPr>
          <w:szCs w:val="24"/>
        </w:rPr>
        <w:t xml:space="preserve">Každý členský stát měl povinnost předložit </w:t>
      </w:r>
      <w:r w:rsidR="00273CE5" w:rsidRPr="00FB317F">
        <w:rPr>
          <w:szCs w:val="24"/>
        </w:rPr>
        <w:t>Evropské k</w:t>
      </w:r>
      <w:r w:rsidRPr="00FB317F">
        <w:rPr>
          <w:szCs w:val="24"/>
        </w:rPr>
        <w:t>omisi „Návrh</w:t>
      </w:r>
      <w:r w:rsidR="00273CE5" w:rsidRPr="00FB317F">
        <w:rPr>
          <w:szCs w:val="24"/>
        </w:rPr>
        <w:t xml:space="preserve"> </w:t>
      </w:r>
      <w:r w:rsidRPr="00FB317F">
        <w:rPr>
          <w:szCs w:val="24"/>
        </w:rPr>
        <w:t xml:space="preserve">integrovaného vnitrostátního plánu v oblasti energetiky a </w:t>
      </w:r>
      <w:r w:rsidR="00273CE5" w:rsidRPr="00FB317F">
        <w:rPr>
          <w:szCs w:val="24"/>
        </w:rPr>
        <w:t>klimatu pokrývající</w:t>
      </w:r>
      <w:r w:rsidRPr="00FB317F">
        <w:rPr>
          <w:szCs w:val="24"/>
        </w:rPr>
        <w:t xml:space="preserve"> období od roku 2021 až do roku 2030“ (dále jen Návrh) do 31.</w:t>
      </w:r>
      <w:r w:rsidR="00273CE5" w:rsidRPr="00FB317F">
        <w:rPr>
          <w:szCs w:val="24"/>
        </w:rPr>
        <w:t> </w:t>
      </w:r>
      <w:r w:rsidRPr="00FB317F">
        <w:rPr>
          <w:szCs w:val="24"/>
        </w:rPr>
        <w:t>12.</w:t>
      </w:r>
      <w:r w:rsidR="00273CE5" w:rsidRPr="00FB317F">
        <w:rPr>
          <w:szCs w:val="24"/>
        </w:rPr>
        <w:t> </w:t>
      </w:r>
      <w:r w:rsidRPr="00FB317F">
        <w:rPr>
          <w:szCs w:val="24"/>
        </w:rPr>
        <w:t>2018. Č</w:t>
      </w:r>
      <w:r w:rsidR="00273CE5" w:rsidRPr="00FB317F">
        <w:rPr>
          <w:szCs w:val="24"/>
        </w:rPr>
        <w:t>eská republika</w:t>
      </w:r>
      <w:r w:rsidRPr="00FB317F">
        <w:rPr>
          <w:szCs w:val="24"/>
        </w:rPr>
        <w:t xml:space="preserve"> předložil</w:t>
      </w:r>
      <w:r w:rsidR="00273CE5" w:rsidRPr="00FB317F">
        <w:rPr>
          <w:szCs w:val="24"/>
        </w:rPr>
        <w:t>a</w:t>
      </w:r>
      <w:r w:rsidRPr="00FB317F">
        <w:rPr>
          <w:szCs w:val="24"/>
        </w:rPr>
        <w:t xml:space="preserve"> „Návrh“ EK v lednu 2019. Komise plán posoudila a 18.</w:t>
      </w:r>
      <w:r w:rsidR="00273CE5" w:rsidRPr="00FB317F">
        <w:rPr>
          <w:szCs w:val="24"/>
        </w:rPr>
        <w:t> </w:t>
      </w:r>
      <w:r w:rsidRPr="00FB317F">
        <w:rPr>
          <w:szCs w:val="24"/>
        </w:rPr>
        <w:t>6.</w:t>
      </w:r>
      <w:r w:rsidR="00273CE5" w:rsidRPr="00FB317F">
        <w:rPr>
          <w:szCs w:val="24"/>
        </w:rPr>
        <w:t> </w:t>
      </w:r>
      <w:r w:rsidRPr="00FB317F">
        <w:rPr>
          <w:szCs w:val="24"/>
        </w:rPr>
        <w:t>2019 vydala doporučení k „Návrhu</w:t>
      </w:r>
      <w:r w:rsidR="00273CE5" w:rsidRPr="00FB317F">
        <w:rPr>
          <w:szCs w:val="24"/>
        </w:rPr>
        <w:t>“ pokrývající</w:t>
      </w:r>
      <w:r w:rsidRPr="00FB317F">
        <w:rPr>
          <w:szCs w:val="24"/>
        </w:rPr>
        <w:t xml:space="preserve"> období 2021 a</w:t>
      </w:r>
      <w:r w:rsidR="00273CE5" w:rsidRPr="00FB317F">
        <w:rPr>
          <w:szCs w:val="24"/>
        </w:rPr>
        <w:t xml:space="preserve">ž </w:t>
      </w:r>
      <w:r w:rsidRPr="00FB317F">
        <w:rPr>
          <w:szCs w:val="24"/>
        </w:rPr>
        <w:t>2030 (Úřední věstník Evropské unie C/297/9). ČR zčásti doporučení k „Návrhu“ akceptoval</w:t>
      </w:r>
      <w:r w:rsidR="00273CE5" w:rsidRPr="00FB317F">
        <w:rPr>
          <w:szCs w:val="24"/>
        </w:rPr>
        <w:t>a</w:t>
      </w:r>
      <w:r w:rsidRPr="00FB317F">
        <w:rPr>
          <w:szCs w:val="24"/>
        </w:rPr>
        <w:t xml:space="preserve"> a zahrnul</w:t>
      </w:r>
      <w:r w:rsidR="00273CE5" w:rsidRPr="00FB317F">
        <w:rPr>
          <w:szCs w:val="24"/>
        </w:rPr>
        <w:t>a</w:t>
      </w:r>
      <w:r w:rsidRPr="00FB317F">
        <w:rPr>
          <w:szCs w:val="24"/>
        </w:rPr>
        <w:t xml:space="preserve"> do pozmě</w:t>
      </w:r>
      <w:r w:rsidR="00273CE5" w:rsidRPr="00FB317F">
        <w:rPr>
          <w:szCs w:val="24"/>
        </w:rPr>
        <w:t>ně</w:t>
      </w:r>
      <w:r w:rsidRPr="00FB317F">
        <w:rPr>
          <w:szCs w:val="24"/>
        </w:rPr>
        <w:t>ného „Návrhu“. „Návrh“ projednala a schválila vláda ČR dne 13.</w:t>
      </w:r>
      <w:r w:rsidR="00273CE5" w:rsidRPr="00FB317F">
        <w:rPr>
          <w:szCs w:val="24"/>
        </w:rPr>
        <w:t> 1. </w:t>
      </w:r>
      <w:r w:rsidRPr="00FB317F">
        <w:rPr>
          <w:szCs w:val="24"/>
        </w:rPr>
        <w:t>2020 a přijala usnesení č. 31 o schválení Vnitrostátního plánu ČR v oblasti energetiky a</w:t>
      </w:r>
      <w:r w:rsidR="00273CE5" w:rsidRPr="00FB317F">
        <w:rPr>
          <w:szCs w:val="24"/>
        </w:rPr>
        <w:t> </w:t>
      </w:r>
      <w:r w:rsidRPr="00FB317F">
        <w:rPr>
          <w:szCs w:val="24"/>
        </w:rPr>
        <w:t>klimatu (dále jen „Plán“).</w:t>
      </w:r>
      <w:r w:rsidR="00273CE5" w:rsidRPr="00FB317F">
        <w:rPr>
          <w:szCs w:val="24"/>
        </w:rPr>
        <w:t xml:space="preserve"> </w:t>
      </w:r>
      <w:r w:rsidRPr="00FB317F">
        <w:rPr>
          <w:szCs w:val="24"/>
        </w:rPr>
        <w:t>Následně „Plán“ vláda ČR zaslala EK.</w:t>
      </w:r>
    </w:p>
    <w:p w:rsidR="008A2B1C" w:rsidRPr="00FB317F" w:rsidRDefault="00A90965" w:rsidP="008365CE">
      <w:pPr>
        <w:pStyle w:val="Standard"/>
        <w:spacing w:after="20"/>
        <w:rPr>
          <w:szCs w:val="24"/>
        </w:rPr>
      </w:pPr>
      <w:r w:rsidRPr="00FB317F">
        <w:rPr>
          <w:szCs w:val="24"/>
        </w:rPr>
        <w:t xml:space="preserve">Členské státy musí </w:t>
      </w:r>
      <w:r w:rsidR="00273CE5" w:rsidRPr="00FB317F">
        <w:rPr>
          <w:szCs w:val="24"/>
        </w:rPr>
        <w:t>S</w:t>
      </w:r>
      <w:r w:rsidRPr="00FB317F">
        <w:rPr>
          <w:szCs w:val="24"/>
        </w:rPr>
        <w:t>měrnici 2018/2001 transponovat do národního práva do 30.</w:t>
      </w:r>
      <w:r w:rsidR="00273CE5" w:rsidRPr="00FB317F">
        <w:rPr>
          <w:szCs w:val="24"/>
        </w:rPr>
        <w:t> </w:t>
      </w:r>
      <w:r w:rsidRPr="00FB317F">
        <w:rPr>
          <w:szCs w:val="24"/>
        </w:rPr>
        <w:t>6.</w:t>
      </w:r>
      <w:r w:rsidR="00273CE5" w:rsidRPr="00FB317F">
        <w:rPr>
          <w:szCs w:val="24"/>
        </w:rPr>
        <w:t> </w:t>
      </w:r>
      <w:r w:rsidRPr="00FB317F">
        <w:rPr>
          <w:szCs w:val="24"/>
        </w:rPr>
        <w:t>2021.</w:t>
      </w:r>
    </w:p>
    <w:p w:rsidR="008A2B1C" w:rsidRPr="00FB317F" w:rsidRDefault="00A90965" w:rsidP="00273CE5">
      <w:pPr>
        <w:pStyle w:val="Standard"/>
        <w:rPr>
          <w:szCs w:val="24"/>
        </w:rPr>
      </w:pPr>
      <w:r w:rsidRPr="00FB317F">
        <w:rPr>
          <w:szCs w:val="24"/>
        </w:rPr>
        <w:t xml:space="preserve">V souladu jak se </w:t>
      </w:r>
      <w:r w:rsidR="00273CE5" w:rsidRPr="00FB317F">
        <w:rPr>
          <w:szCs w:val="24"/>
        </w:rPr>
        <w:t>S</w:t>
      </w:r>
      <w:r w:rsidRPr="00FB317F">
        <w:rPr>
          <w:szCs w:val="24"/>
        </w:rPr>
        <w:t xml:space="preserve">měrnicí 2018/2001, tak </w:t>
      </w:r>
      <w:r w:rsidR="00273CE5" w:rsidRPr="00FB317F">
        <w:rPr>
          <w:szCs w:val="24"/>
        </w:rPr>
        <w:t xml:space="preserve">se </w:t>
      </w:r>
      <w:r w:rsidRPr="00FB317F">
        <w:rPr>
          <w:szCs w:val="24"/>
        </w:rPr>
        <w:t xml:space="preserve">zmíněnými materiály byla aktualizována </w:t>
      </w:r>
      <w:r w:rsidR="00273CE5" w:rsidRPr="00FB317F">
        <w:rPr>
          <w:szCs w:val="24"/>
        </w:rPr>
        <w:t>agenda uplatňování</w:t>
      </w:r>
      <w:r w:rsidRPr="00FB317F">
        <w:rPr>
          <w:szCs w:val="24"/>
        </w:rPr>
        <w:t xml:space="preserve"> energie z OZE a snížení emisí GHG materiálem Aktualizace technologického </w:t>
      </w:r>
      <w:proofErr w:type="spellStart"/>
      <w:r w:rsidRPr="00FB317F">
        <w:rPr>
          <w:szCs w:val="24"/>
        </w:rPr>
        <w:t>foresightu</w:t>
      </w:r>
      <w:proofErr w:type="spellEnd"/>
      <w:r w:rsidRPr="00FB317F">
        <w:rPr>
          <w:szCs w:val="24"/>
        </w:rPr>
        <w:t xml:space="preserve"> Technologické trendy v silniční dopravě – oblast alternativní pohonné hmoty pro silniční dopravu.</w:t>
      </w:r>
    </w:p>
    <w:p w:rsidR="008A2B1C" w:rsidRPr="00FB317F" w:rsidRDefault="00A90965" w:rsidP="00D713DD">
      <w:pPr>
        <w:pStyle w:val="Nadpis2"/>
        <w:numPr>
          <w:ilvl w:val="0"/>
          <w:numId w:val="34"/>
        </w:numPr>
        <w:tabs>
          <w:tab w:val="clear" w:pos="94"/>
          <w:tab w:val="left" w:pos="454"/>
        </w:tabs>
        <w:overflowPunct w:val="0"/>
        <w:autoSpaceDE w:val="0"/>
        <w:ind w:left="454" w:hanging="454"/>
      </w:pPr>
      <w:bookmarkStart w:id="12" w:name="_Charakteristika_legislativních,_prů"/>
      <w:bookmarkStart w:id="13" w:name="_Toc38019649"/>
      <w:bookmarkStart w:id="14" w:name="_Toc38019712"/>
      <w:bookmarkStart w:id="15" w:name="_Toc38023724"/>
      <w:bookmarkStart w:id="16" w:name="_Hlk38023490"/>
      <w:bookmarkEnd w:id="12"/>
      <w:r w:rsidRPr="00FB317F">
        <w:t>Charakteristika legislativních, průmyslových a společenských změn se zohledněním stavu v letech 2019 až 2020</w:t>
      </w:r>
      <w:bookmarkEnd w:id="13"/>
      <w:bookmarkEnd w:id="14"/>
      <w:bookmarkEnd w:id="15"/>
    </w:p>
    <w:bookmarkEnd w:id="16"/>
    <w:p w:rsidR="008A2B1C" w:rsidRPr="00FB317F" w:rsidRDefault="00A90965" w:rsidP="0073614D">
      <w:pPr>
        <w:pStyle w:val="Standard"/>
        <w:rPr>
          <w:szCs w:val="24"/>
        </w:rPr>
      </w:pPr>
      <w:r w:rsidRPr="00FB317F">
        <w:rPr>
          <w:szCs w:val="24"/>
        </w:rPr>
        <w:t>Vědecké, politické a společenské elity v posledních letech zesilují důraz na silnou roli obecné ekologické politiky rozvoje společnosti. Světovým lídrem v tomto tlaku jsou orgány EU. Hlavním motivačním cílem je zastavení globálního oteplování planety. Byla k tomu přijata celá řada usnesení až na úrovni OSN a problém je široce diskutován a existují i opačné názory. Zůstává však faktem, aby společnost neupadla do chaosu a nestability, a to jak politické</w:t>
      </w:r>
      <w:r w:rsidR="0073614D" w:rsidRPr="00FB317F">
        <w:rPr>
          <w:szCs w:val="24"/>
        </w:rPr>
        <w:t xml:space="preserve"> a </w:t>
      </w:r>
      <w:r w:rsidRPr="00FB317F">
        <w:rPr>
          <w:szCs w:val="24"/>
        </w:rPr>
        <w:t>ekonomické</w:t>
      </w:r>
      <w:r w:rsidR="0073614D" w:rsidRPr="00FB317F">
        <w:rPr>
          <w:szCs w:val="24"/>
        </w:rPr>
        <w:t>,</w:t>
      </w:r>
      <w:r w:rsidRPr="00FB317F">
        <w:rPr>
          <w:szCs w:val="24"/>
        </w:rPr>
        <w:t xml:space="preserve"> tak bezpečnostní</w:t>
      </w:r>
      <w:r w:rsidR="0073614D" w:rsidRPr="00FB317F">
        <w:rPr>
          <w:szCs w:val="24"/>
        </w:rPr>
        <w:t>, že</w:t>
      </w:r>
      <w:r w:rsidRPr="00FB317F">
        <w:rPr>
          <w:szCs w:val="24"/>
        </w:rPr>
        <w:t xml:space="preserve"> je třeba neprodleně konat s cílem zachování zdrojů pro budoucnost.</w:t>
      </w:r>
    </w:p>
    <w:p w:rsidR="008A2B1C" w:rsidRPr="00FB317F" w:rsidRDefault="00A90965" w:rsidP="00FD4C88">
      <w:pPr>
        <w:pStyle w:val="Nadpis2"/>
        <w:numPr>
          <w:ilvl w:val="0"/>
          <w:numId w:val="36"/>
        </w:numPr>
        <w:tabs>
          <w:tab w:val="clear" w:pos="94"/>
          <w:tab w:val="left" w:pos="426"/>
        </w:tabs>
        <w:ind w:left="0" w:firstLine="0"/>
        <w:rPr>
          <w:sz w:val="26"/>
          <w:u w:val="single"/>
        </w:rPr>
      </w:pPr>
      <w:bookmarkStart w:id="17" w:name="_Toc38019650"/>
      <w:bookmarkStart w:id="18" w:name="_Toc38019713"/>
      <w:bookmarkStart w:id="19" w:name="_Toc38023725"/>
      <w:r w:rsidRPr="00FB317F">
        <w:rPr>
          <w:sz w:val="26"/>
        </w:rPr>
        <w:t>Charakteristika společenských (politických) změn</w:t>
      </w:r>
      <w:bookmarkEnd w:id="17"/>
      <w:bookmarkEnd w:id="18"/>
      <w:bookmarkEnd w:id="19"/>
    </w:p>
    <w:p w:rsidR="008A2B1C" w:rsidRPr="00FB317F" w:rsidRDefault="00A90965" w:rsidP="008365CE">
      <w:pPr>
        <w:pStyle w:val="Standard"/>
        <w:spacing w:after="20"/>
        <w:rPr>
          <w:szCs w:val="24"/>
        </w:rPr>
      </w:pPr>
      <w:r w:rsidRPr="00FB317F">
        <w:rPr>
          <w:szCs w:val="24"/>
        </w:rPr>
        <w:t>Charakteristiku společenských změn souvisejících se změnou klimatu lze chápat ve dvou oblastech. J</w:t>
      </w:r>
      <w:r w:rsidR="00DB09CA" w:rsidRPr="00FB317F">
        <w:rPr>
          <w:szCs w:val="24"/>
        </w:rPr>
        <w:t>sou</w:t>
      </w:r>
      <w:r w:rsidRPr="00FB317F">
        <w:rPr>
          <w:szCs w:val="24"/>
        </w:rPr>
        <w:t xml:space="preserve"> to:</w:t>
      </w:r>
    </w:p>
    <w:p w:rsidR="008A2B1C" w:rsidRPr="00FB317F" w:rsidRDefault="00A90965" w:rsidP="00FD4C88">
      <w:pPr>
        <w:pStyle w:val="Standard"/>
        <w:numPr>
          <w:ilvl w:val="0"/>
          <w:numId w:val="37"/>
        </w:numPr>
        <w:spacing w:after="20"/>
        <w:ind w:left="357" w:hanging="357"/>
        <w:rPr>
          <w:szCs w:val="24"/>
        </w:rPr>
      </w:pPr>
      <w:r w:rsidRPr="00FB317F">
        <w:rPr>
          <w:szCs w:val="24"/>
        </w:rPr>
        <w:t>oblast globálního oteplování planety</w:t>
      </w:r>
    </w:p>
    <w:p w:rsidR="008A2B1C" w:rsidRPr="00FB317F" w:rsidRDefault="00A90965" w:rsidP="00FD4C88">
      <w:pPr>
        <w:pStyle w:val="Standard"/>
        <w:numPr>
          <w:ilvl w:val="0"/>
          <w:numId w:val="37"/>
        </w:numPr>
        <w:spacing w:after="20"/>
        <w:ind w:left="357" w:hanging="357"/>
        <w:rPr>
          <w:szCs w:val="24"/>
        </w:rPr>
      </w:pPr>
      <w:r w:rsidRPr="00FB317F">
        <w:rPr>
          <w:szCs w:val="24"/>
        </w:rPr>
        <w:t>oblast celosvětového vyčerpání zdrojů neobnovitelných surovin se sekundárním negativním dopadem na obnovitelné zdroje.</w:t>
      </w:r>
    </w:p>
    <w:p w:rsidR="008A2B1C" w:rsidRPr="00FB317F" w:rsidRDefault="00A90965" w:rsidP="008365CE">
      <w:pPr>
        <w:pStyle w:val="Standard"/>
        <w:spacing w:after="20"/>
        <w:rPr>
          <w:szCs w:val="24"/>
        </w:rPr>
      </w:pPr>
      <w:r w:rsidRPr="00FB317F">
        <w:rPr>
          <w:szCs w:val="24"/>
        </w:rPr>
        <w:t>Převažují názory, že příčinou je ničím neregulovaný rozvoj světové ekonomiky daný neskromností společnosti a dynamickým rozvojem počtu obyvatel planety.</w:t>
      </w:r>
    </w:p>
    <w:p w:rsidR="008A2B1C" w:rsidRPr="00FB317F" w:rsidRDefault="00A90965" w:rsidP="008365CE">
      <w:pPr>
        <w:pStyle w:val="Standard"/>
        <w:spacing w:after="20"/>
        <w:rPr>
          <w:szCs w:val="24"/>
        </w:rPr>
      </w:pPr>
      <w:r w:rsidRPr="00FB317F">
        <w:rPr>
          <w:szCs w:val="24"/>
        </w:rPr>
        <w:t>Je samozřejmou snahou společnosti možné katastrofické dopady odvrátit, dokud je čas, a</w:t>
      </w:r>
      <w:r w:rsidR="00DB09CA" w:rsidRPr="00FB317F">
        <w:rPr>
          <w:szCs w:val="24"/>
        </w:rPr>
        <w:t xml:space="preserve"> </w:t>
      </w:r>
      <w:r w:rsidRPr="00FB317F">
        <w:rPr>
          <w:szCs w:val="24"/>
        </w:rPr>
        <w:t>proto hledá ve všech oborech adekvátní řešení. K tomu je třeba prioritně stanovit celosvětově platné legislativní předpisy a vyžadovat jejich důsledné plnění.</w:t>
      </w:r>
    </w:p>
    <w:p w:rsidR="008365CE" w:rsidRDefault="00A90965" w:rsidP="008365CE">
      <w:pPr>
        <w:pStyle w:val="Standard"/>
        <w:spacing w:after="20"/>
        <w:rPr>
          <w:szCs w:val="24"/>
        </w:rPr>
      </w:pPr>
      <w:r w:rsidRPr="00FB317F">
        <w:rPr>
          <w:szCs w:val="24"/>
        </w:rPr>
        <w:t>Petrolejářský průmysl patří ve světě k oborům, kter</w:t>
      </w:r>
      <w:r w:rsidR="00DB09CA" w:rsidRPr="00FB317F">
        <w:rPr>
          <w:szCs w:val="24"/>
        </w:rPr>
        <w:t>é</w:t>
      </w:r>
      <w:r w:rsidRPr="00FB317F">
        <w:rPr>
          <w:szCs w:val="24"/>
        </w:rPr>
        <w:t xml:space="preserve"> </w:t>
      </w:r>
      <w:r w:rsidR="00DB09CA" w:rsidRPr="00FB317F">
        <w:rPr>
          <w:szCs w:val="24"/>
        </w:rPr>
        <w:t xml:space="preserve">se řadí </w:t>
      </w:r>
      <w:r w:rsidRPr="00FB317F">
        <w:rPr>
          <w:szCs w:val="24"/>
        </w:rPr>
        <w:t>k významným znečišťovatelům životního prostředí a zárove</w:t>
      </w:r>
      <w:r w:rsidR="00DB09CA" w:rsidRPr="00FB317F">
        <w:rPr>
          <w:szCs w:val="24"/>
        </w:rPr>
        <w:t>ň</w:t>
      </w:r>
      <w:r w:rsidRPr="00FB317F">
        <w:rPr>
          <w:szCs w:val="24"/>
        </w:rPr>
        <w:t xml:space="preserve"> </w:t>
      </w:r>
      <w:r w:rsidR="00DB09CA" w:rsidRPr="00FB317F">
        <w:rPr>
          <w:szCs w:val="24"/>
        </w:rPr>
        <w:t xml:space="preserve">ke </w:t>
      </w:r>
      <w:r w:rsidRPr="00FB317F">
        <w:rPr>
          <w:szCs w:val="24"/>
        </w:rPr>
        <w:t>spotřebitelům nejdůležitější energetické suroviny, ropy. Proto jeho zodpovědnost je nedělitelná.</w:t>
      </w:r>
      <w:r w:rsidR="008365CE">
        <w:rPr>
          <w:szCs w:val="24"/>
        </w:rPr>
        <w:br w:type="page"/>
      </w:r>
    </w:p>
    <w:p w:rsidR="008A2B1C" w:rsidRPr="00FB317F" w:rsidRDefault="008A2B1C" w:rsidP="008365CE">
      <w:pPr>
        <w:pStyle w:val="Standard"/>
        <w:spacing w:after="20"/>
        <w:rPr>
          <w:szCs w:val="24"/>
        </w:rPr>
      </w:pPr>
    </w:p>
    <w:p w:rsidR="008A2B1C" w:rsidRPr="00FB317F" w:rsidRDefault="00A90965" w:rsidP="0085092A">
      <w:pPr>
        <w:pStyle w:val="Standard"/>
        <w:spacing w:after="20"/>
        <w:rPr>
          <w:szCs w:val="24"/>
        </w:rPr>
      </w:pPr>
      <w:r w:rsidRPr="00FB317F">
        <w:rPr>
          <w:szCs w:val="24"/>
        </w:rPr>
        <w:t>Uvedené změny mají sekundární dopady</w:t>
      </w:r>
      <w:r w:rsidR="00DB09CA" w:rsidRPr="00FB317F">
        <w:rPr>
          <w:szCs w:val="24"/>
        </w:rPr>
        <w:t>,</w:t>
      </w:r>
      <w:r w:rsidRPr="00FB317F">
        <w:rPr>
          <w:szCs w:val="24"/>
        </w:rPr>
        <w:t xml:space="preserve"> jako jsou klimatické výkyvy, období sucha, nevratné</w:t>
      </w:r>
      <w:r w:rsidR="00A21744" w:rsidRPr="00FB317F">
        <w:rPr>
          <w:szCs w:val="24"/>
        </w:rPr>
        <w:t xml:space="preserve"> </w:t>
      </w:r>
      <w:r w:rsidR="00A21744" w:rsidRPr="00FB317F">
        <w:t xml:space="preserve">změny </w:t>
      </w:r>
      <w:r w:rsidRPr="00FB317F">
        <w:t>flóry a fauny a celá řada dalších změn, v řadě</w:t>
      </w:r>
      <w:r w:rsidRPr="00FB317F">
        <w:rPr>
          <w:szCs w:val="24"/>
        </w:rPr>
        <w:t xml:space="preserve"> případů regionálních.</w:t>
      </w:r>
    </w:p>
    <w:p w:rsidR="008A2B1C" w:rsidRPr="00FB317F" w:rsidRDefault="00A90965" w:rsidP="0085092A">
      <w:pPr>
        <w:pStyle w:val="Standard"/>
        <w:spacing w:after="20"/>
        <w:rPr>
          <w:szCs w:val="24"/>
        </w:rPr>
      </w:pPr>
      <w:r w:rsidRPr="00FB317F">
        <w:rPr>
          <w:szCs w:val="24"/>
        </w:rPr>
        <w:t>Za zásadní je však třeba považovat</w:t>
      </w:r>
      <w:r w:rsidR="00B77988" w:rsidRPr="00FB317F">
        <w:rPr>
          <w:szCs w:val="24"/>
        </w:rPr>
        <w:t xml:space="preserve"> </w:t>
      </w:r>
      <w:r w:rsidRPr="00FB317F">
        <w:rPr>
          <w:szCs w:val="24"/>
        </w:rPr>
        <w:t>zastav</w:t>
      </w:r>
      <w:r w:rsidR="00B77988" w:rsidRPr="00FB317F">
        <w:rPr>
          <w:szCs w:val="24"/>
        </w:rPr>
        <w:t xml:space="preserve">ení </w:t>
      </w:r>
      <w:r w:rsidRPr="00FB317F">
        <w:rPr>
          <w:szCs w:val="24"/>
        </w:rPr>
        <w:t>růst</w:t>
      </w:r>
      <w:r w:rsidR="00B77988" w:rsidRPr="00FB317F">
        <w:rPr>
          <w:szCs w:val="24"/>
        </w:rPr>
        <w:t>u</w:t>
      </w:r>
      <w:r w:rsidRPr="00FB317F">
        <w:rPr>
          <w:szCs w:val="24"/>
        </w:rPr>
        <w:t>, v lepším případě zajistit stagnaci rozdílu mezi „bohatými“ a „chudými“ regiony. To ve svém důsledku bude mít dopad na rostoucí migraci lidí směrem do vyspělých ekonomik.</w:t>
      </w:r>
    </w:p>
    <w:p w:rsidR="008A2B1C" w:rsidRPr="00FB317F" w:rsidRDefault="00A90965" w:rsidP="00B77988">
      <w:pPr>
        <w:pStyle w:val="Standard"/>
        <w:rPr>
          <w:szCs w:val="24"/>
        </w:rPr>
      </w:pPr>
      <w:r w:rsidRPr="00FB317F">
        <w:rPr>
          <w:szCs w:val="24"/>
        </w:rPr>
        <w:t xml:space="preserve">Řešením této situace je společný cílevědomý postup na světové úrovni podložený </w:t>
      </w:r>
      <w:r w:rsidR="00B77988" w:rsidRPr="00FB317F">
        <w:rPr>
          <w:szCs w:val="24"/>
        </w:rPr>
        <w:t>politicko-společenskou</w:t>
      </w:r>
      <w:r w:rsidRPr="00FB317F">
        <w:rPr>
          <w:szCs w:val="24"/>
        </w:rPr>
        <w:t xml:space="preserve"> zodpovědností, reálnými a vymahatelnými legislativními předpisy a technickým řešením.</w:t>
      </w:r>
    </w:p>
    <w:p w:rsidR="008A2B1C" w:rsidRPr="00FB317F" w:rsidRDefault="00A90965" w:rsidP="00FD4C88">
      <w:pPr>
        <w:pStyle w:val="Nadpis2"/>
        <w:numPr>
          <w:ilvl w:val="0"/>
          <w:numId w:val="36"/>
        </w:numPr>
        <w:tabs>
          <w:tab w:val="clear" w:pos="94"/>
          <w:tab w:val="left" w:pos="426"/>
        </w:tabs>
        <w:ind w:left="0" w:firstLine="0"/>
        <w:rPr>
          <w:sz w:val="22"/>
          <w:u w:val="single"/>
        </w:rPr>
      </w:pPr>
      <w:bookmarkStart w:id="20" w:name="_Toc38019651"/>
      <w:bookmarkStart w:id="21" w:name="_Toc38019714"/>
      <w:bookmarkStart w:id="22" w:name="_Toc38023726"/>
      <w:r w:rsidRPr="00FB317F">
        <w:rPr>
          <w:sz w:val="26"/>
        </w:rPr>
        <w:t>Charakteristika legislativních změn</w:t>
      </w:r>
      <w:bookmarkEnd w:id="20"/>
      <w:bookmarkEnd w:id="21"/>
      <w:bookmarkEnd w:id="22"/>
    </w:p>
    <w:p w:rsidR="008A2B1C" w:rsidRPr="00FB317F" w:rsidRDefault="00A90965" w:rsidP="00952490">
      <w:pPr>
        <w:pStyle w:val="Standard"/>
        <w:spacing w:after="60"/>
        <w:rPr>
          <w:szCs w:val="24"/>
        </w:rPr>
      </w:pPr>
      <w:r w:rsidRPr="00FB317F">
        <w:rPr>
          <w:szCs w:val="24"/>
        </w:rPr>
        <w:t xml:space="preserve">Obsahově jsou uvedeny legislativní předpisy týkající se </w:t>
      </w:r>
      <w:r w:rsidR="00952490" w:rsidRPr="00FB317F">
        <w:rPr>
          <w:szCs w:val="24"/>
        </w:rPr>
        <w:t>substituce</w:t>
      </w:r>
      <w:r w:rsidRPr="00FB317F">
        <w:rPr>
          <w:szCs w:val="24"/>
        </w:rPr>
        <w:t xml:space="preserve"> neobnovitelných fosilních energi</w:t>
      </w:r>
      <w:r w:rsidR="002F2855">
        <w:rPr>
          <w:szCs w:val="24"/>
        </w:rPr>
        <w:t>í</w:t>
      </w:r>
      <w:r w:rsidRPr="00FB317F">
        <w:rPr>
          <w:szCs w:val="24"/>
        </w:rPr>
        <w:t xml:space="preserve"> </w:t>
      </w:r>
      <w:proofErr w:type="spellStart"/>
      <w:r w:rsidRPr="00FB317F">
        <w:rPr>
          <w:szCs w:val="24"/>
        </w:rPr>
        <w:t>energií</w:t>
      </w:r>
      <w:proofErr w:type="spellEnd"/>
      <w:r w:rsidRPr="00FB317F">
        <w:rPr>
          <w:szCs w:val="24"/>
        </w:rPr>
        <w:t xml:space="preserve"> na bázi </w:t>
      </w:r>
      <w:r w:rsidR="00952490" w:rsidRPr="00FB317F">
        <w:rPr>
          <w:szCs w:val="24"/>
        </w:rPr>
        <w:t>obnovitelných</w:t>
      </w:r>
      <w:r w:rsidRPr="00FB317F">
        <w:rPr>
          <w:szCs w:val="24"/>
        </w:rPr>
        <w:t xml:space="preserve"> zdrojů a snížení emisí skleníkových </w:t>
      </w:r>
      <w:r w:rsidR="00952490" w:rsidRPr="00FB317F">
        <w:rPr>
          <w:szCs w:val="24"/>
        </w:rPr>
        <w:t>plynů,</w:t>
      </w:r>
      <w:r w:rsidRPr="00FB317F">
        <w:rPr>
          <w:szCs w:val="24"/>
        </w:rPr>
        <w:t xml:space="preserve"> zejména CO2</w:t>
      </w:r>
      <w:r w:rsidR="00952490" w:rsidRPr="00FB317F">
        <w:rPr>
          <w:szCs w:val="24"/>
        </w:rPr>
        <w:t>.</w:t>
      </w:r>
    </w:p>
    <w:p w:rsidR="008A2B1C" w:rsidRPr="00FB317F" w:rsidRDefault="00A90965" w:rsidP="0085092A">
      <w:pPr>
        <w:pStyle w:val="Standard"/>
        <w:spacing w:after="20"/>
        <w:rPr>
          <w:i/>
          <w:iCs/>
          <w:szCs w:val="24"/>
        </w:rPr>
      </w:pPr>
      <w:r w:rsidRPr="00FB317F">
        <w:rPr>
          <w:i/>
          <w:iCs/>
          <w:szCs w:val="24"/>
        </w:rPr>
        <w:t>Legislativa EU</w:t>
      </w:r>
    </w:p>
    <w:p w:rsidR="008A2B1C" w:rsidRPr="00FB317F" w:rsidRDefault="00A90965" w:rsidP="00FD4C88">
      <w:pPr>
        <w:pStyle w:val="Standard"/>
        <w:numPr>
          <w:ilvl w:val="0"/>
          <w:numId w:val="38"/>
        </w:numPr>
        <w:ind w:left="357" w:hanging="357"/>
        <w:rPr>
          <w:szCs w:val="24"/>
        </w:rPr>
      </w:pPr>
      <w:r w:rsidRPr="00FB317F">
        <w:rPr>
          <w:szCs w:val="24"/>
        </w:rPr>
        <w:t xml:space="preserve">Směrnice Evropského parlamentu a Rady (EU) 2018/2001 ze dne 11. </w:t>
      </w:r>
      <w:r w:rsidR="00726E21" w:rsidRPr="00FB317F">
        <w:rPr>
          <w:szCs w:val="24"/>
        </w:rPr>
        <w:t>12.</w:t>
      </w:r>
      <w:r w:rsidRPr="00FB317F">
        <w:rPr>
          <w:szCs w:val="24"/>
        </w:rPr>
        <w:t xml:space="preserve"> 2018 o podpoře využívání energie z obnovitelných zdrojů. Směrnice definuje cíle podpory využívání energie z OZE v členských státech pro období 2021 až 2030</w:t>
      </w:r>
      <w:r w:rsidR="00726E21" w:rsidRPr="00FB317F">
        <w:rPr>
          <w:szCs w:val="24"/>
        </w:rPr>
        <w:t>;</w:t>
      </w:r>
    </w:p>
    <w:p w:rsidR="008A2B1C" w:rsidRPr="00FB317F" w:rsidRDefault="00726E21" w:rsidP="00FD4C88">
      <w:pPr>
        <w:pStyle w:val="Standard"/>
        <w:numPr>
          <w:ilvl w:val="0"/>
          <w:numId w:val="38"/>
        </w:numPr>
        <w:spacing w:after="60"/>
        <w:ind w:left="357" w:hanging="357"/>
        <w:rPr>
          <w:szCs w:val="24"/>
        </w:rPr>
      </w:pPr>
      <w:r w:rsidRPr="00FB317F">
        <w:rPr>
          <w:szCs w:val="24"/>
        </w:rPr>
        <w:t>n</w:t>
      </w:r>
      <w:r w:rsidR="00A90965" w:rsidRPr="00FB317F">
        <w:rPr>
          <w:szCs w:val="24"/>
        </w:rPr>
        <w:t>ávrh nového klimatického zákona k roku 2050, který požaduje dosáhnout klimatické neutrality, kdy výstup CO2 do ovzduší se musí rovnat množství pohlceného či</w:t>
      </w:r>
      <w:r w:rsidR="00DC30A1" w:rsidRPr="00FB317F">
        <w:rPr>
          <w:szCs w:val="24"/>
        </w:rPr>
        <w:t> </w:t>
      </w:r>
      <w:r w:rsidR="00A90965" w:rsidRPr="00FB317F">
        <w:rPr>
          <w:szCs w:val="24"/>
        </w:rPr>
        <w:t>spotřebovaného CO2.</w:t>
      </w:r>
    </w:p>
    <w:p w:rsidR="008A2B1C" w:rsidRPr="00FB317F" w:rsidRDefault="00A90965" w:rsidP="0085092A">
      <w:pPr>
        <w:pStyle w:val="Standard"/>
        <w:spacing w:after="20"/>
        <w:rPr>
          <w:i/>
          <w:iCs/>
          <w:szCs w:val="24"/>
        </w:rPr>
      </w:pPr>
      <w:r w:rsidRPr="00FB317F">
        <w:rPr>
          <w:i/>
          <w:iCs/>
          <w:szCs w:val="24"/>
        </w:rPr>
        <w:t>Legislativa ČR</w:t>
      </w:r>
    </w:p>
    <w:p w:rsidR="008A2B1C" w:rsidRPr="00FB317F" w:rsidRDefault="00A90965" w:rsidP="00FD4C88">
      <w:pPr>
        <w:pStyle w:val="Standard"/>
        <w:numPr>
          <w:ilvl w:val="0"/>
          <w:numId w:val="39"/>
        </w:numPr>
        <w:ind w:left="357" w:hanging="357"/>
        <w:rPr>
          <w:szCs w:val="24"/>
        </w:rPr>
      </w:pPr>
      <w:r w:rsidRPr="00FB317F">
        <w:rPr>
          <w:szCs w:val="24"/>
        </w:rPr>
        <w:t>Vnitrostátní plán ČR v oblasti energetiky a klimatu</w:t>
      </w:r>
      <w:r w:rsidR="00DC30A1" w:rsidRPr="00FB317F">
        <w:rPr>
          <w:szCs w:val="24"/>
        </w:rPr>
        <w:t>;</w:t>
      </w:r>
    </w:p>
    <w:p w:rsidR="008A2B1C" w:rsidRPr="00FB317F" w:rsidRDefault="00DC30A1" w:rsidP="00FD4C88">
      <w:pPr>
        <w:pStyle w:val="Standard"/>
        <w:numPr>
          <w:ilvl w:val="0"/>
          <w:numId w:val="39"/>
        </w:numPr>
        <w:ind w:left="357" w:hanging="357"/>
        <w:rPr>
          <w:szCs w:val="24"/>
        </w:rPr>
      </w:pPr>
      <w:r w:rsidRPr="00FB317F">
        <w:rPr>
          <w:szCs w:val="24"/>
        </w:rPr>
        <w:t>n</w:t>
      </w:r>
      <w:r w:rsidR="00A90965" w:rsidRPr="00FB317F">
        <w:rPr>
          <w:szCs w:val="24"/>
        </w:rPr>
        <w:t xml:space="preserve">ávrh </w:t>
      </w:r>
      <w:r w:rsidRPr="00FB317F">
        <w:rPr>
          <w:szCs w:val="24"/>
        </w:rPr>
        <w:t>n</w:t>
      </w:r>
      <w:r w:rsidR="00A90965" w:rsidRPr="00FB317F">
        <w:rPr>
          <w:szCs w:val="24"/>
        </w:rPr>
        <w:t>ovely zákona č. 165/2012</w:t>
      </w:r>
      <w:r w:rsidRPr="00FB317F">
        <w:rPr>
          <w:szCs w:val="24"/>
        </w:rPr>
        <w:t> </w:t>
      </w:r>
      <w:r w:rsidR="00A90965" w:rsidRPr="00FB317F">
        <w:rPr>
          <w:szCs w:val="24"/>
        </w:rPr>
        <w:t>Sb., o podporovaných zdrojích energie</w:t>
      </w:r>
      <w:r w:rsidRPr="00FB317F">
        <w:rPr>
          <w:szCs w:val="24"/>
        </w:rPr>
        <w:t>;</w:t>
      </w:r>
    </w:p>
    <w:p w:rsidR="008A2B1C" w:rsidRPr="00FB317F" w:rsidRDefault="00DC30A1" w:rsidP="00FD4C88">
      <w:pPr>
        <w:pStyle w:val="Standard"/>
        <w:numPr>
          <w:ilvl w:val="0"/>
          <w:numId w:val="39"/>
        </w:numPr>
        <w:spacing w:after="60"/>
        <w:ind w:left="357" w:hanging="357"/>
        <w:rPr>
          <w:szCs w:val="24"/>
        </w:rPr>
      </w:pPr>
      <w:r w:rsidRPr="00FB317F">
        <w:rPr>
          <w:szCs w:val="24"/>
        </w:rPr>
        <w:t>z</w:t>
      </w:r>
      <w:r w:rsidR="00A90965" w:rsidRPr="00FB317F">
        <w:rPr>
          <w:szCs w:val="24"/>
        </w:rPr>
        <w:t>ákon č. 48/2020</w:t>
      </w:r>
      <w:r w:rsidRPr="00FB317F">
        <w:rPr>
          <w:szCs w:val="24"/>
        </w:rPr>
        <w:t> </w:t>
      </w:r>
      <w:r w:rsidR="00A90965" w:rsidRPr="00FB317F">
        <w:rPr>
          <w:szCs w:val="24"/>
        </w:rPr>
        <w:t>Sb., kterým se mění zákon č. 311/2006 Sb.</w:t>
      </w:r>
      <w:r w:rsidRPr="00FB317F">
        <w:rPr>
          <w:szCs w:val="24"/>
        </w:rPr>
        <w:t>,</w:t>
      </w:r>
      <w:r w:rsidR="00A90965" w:rsidRPr="00FB317F">
        <w:rPr>
          <w:szCs w:val="24"/>
        </w:rPr>
        <w:t xml:space="preserve"> o pohonných hmotách a</w:t>
      </w:r>
      <w:r w:rsidRPr="00FB317F">
        <w:rPr>
          <w:szCs w:val="24"/>
        </w:rPr>
        <w:t> </w:t>
      </w:r>
      <w:r w:rsidR="00A90965" w:rsidRPr="00FB317F">
        <w:rPr>
          <w:szCs w:val="24"/>
        </w:rPr>
        <w:t>čerpacích stanicích</w:t>
      </w:r>
      <w:r w:rsidRPr="00FB317F">
        <w:rPr>
          <w:szCs w:val="24"/>
        </w:rPr>
        <w:t>.</w:t>
      </w:r>
    </w:p>
    <w:p w:rsidR="008A2B1C" w:rsidRPr="00FB317F" w:rsidRDefault="00A90965" w:rsidP="0085092A">
      <w:pPr>
        <w:pStyle w:val="Standard"/>
        <w:spacing w:after="20"/>
        <w:rPr>
          <w:i/>
          <w:iCs/>
          <w:szCs w:val="24"/>
        </w:rPr>
      </w:pPr>
      <w:r w:rsidRPr="00FB317F">
        <w:rPr>
          <w:i/>
          <w:iCs/>
          <w:szCs w:val="24"/>
        </w:rPr>
        <w:t>Definice cílů vnitrostátního plánu v oblasti energetiky a klimatu</w:t>
      </w:r>
    </w:p>
    <w:p w:rsidR="008A2B1C" w:rsidRPr="00FB317F" w:rsidRDefault="00A90965" w:rsidP="0085092A">
      <w:pPr>
        <w:pStyle w:val="Standard"/>
        <w:spacing w:after="20"/>
        <w:rPr>
          <w:szCs w:val="24"/>
        </w:rPr>
      </w:pPr>
      <w:r w:rsidRPr="00FB317F">
        <w:rPr>
          <w:szCs w:val="24"/>
        </w:rPr>
        <w:t>Celkový závazný cíl energie z OZE pro EU do roku 2030 je 32 %.</w:t>
      </w:r>
    </w:p>
    <w:p w:rsidR="008A2B1C" w:rsidRPr="00FB317F" w:rsidRDefault="00A90965" w:rsidP="0085092A">
      <w:pPr>
        <w:pStyle w:val="Standard"/>
        <w:spacing w:after="20"/>
        <w:rPr>
          <w:szCs w:val="24"/>
        </w:rPr>
      </w:pPr>
      <w:r w:rsidRPr="00FB317F">
        <w:rPr>
          <w:szCs w:val="24"/>
        </w:rPr>
        <w:t>Cíl v sektoru dopravy pro členské země v roce 2030 je 14 % energie z OZE na celkové konečné spotřebě energie v dopravě včetně zahrnutí biopaliv 1. generace. EK má možnost přezkoumat tento cíl do roku 2023, případně ho zvýšit.</w:t>
      </w:r>
    </w:p>
    <w:p w:rsidR="008A2B1C" w:rsidRPr="00FB317F" w:rsidRDefault="00A90965" w:rsidP="0085092A">
      <w:pPr>
        <w:pStyle w:val="Standard"/>
        <w:spacing w:after="20"/>
        <w:rPr>
          <w:szCs w:val="24"/>
        </w:rPr>
      </w:pPr>
      <w:r w:rsidRPr="00FB317F">
        <w:rPr>
          <w:szCs w:val="24"/>
        </w:rPr>
        <w:t xml:space="preserve">Cíle první generace biopaliv. Výše příspěvku </w:t>
      </w:r>
      <w:r w:rsidR="00EC2E90" w:rsidRPr="00FB317F">
        <w:rPr>
          <w:szCs w:val="24"/>
        </w:rPr>
        <w:t>1.</w:t>
      </w:r>
      <w:r w:rsidRPr="00FB317F">
        <w:rPr>
          <w:szCs w:val="24"/>
        </w:rPr>
        <w:t xml:space="preserve"> generace v roce 2030 se může rovnat příspěvku těchto biopaliv jako v roce 2020 s možným navýšením o 1 %, avšak příspěvek může být nejvýše 7 % hrubé konečné spotřeby. V případě, že příspěvek 1. generace v členském státě je omezen na podíl </w:t>
      </w:r>
      <w:r w:rsidR="001B2593" w:rsidRPr="00FB317F">
        <w:rPr>
          <w:szCs w:val="24"/>
        </w:rPr>
        <w:t>nižší,</w:t>
      </w:r>
      <w:r w:rsidRPr="00FB317F">
        <w:rPr>
          <w:szCs w:val="24"/>
        </w:rPr>
        <w:t xml:space="preserve"> než je 7 %</w:t>
      </w:r>
      <w:r w:rsidR="001B2593" w:rsidRPr="00FB317F">
        <w:rPr>
          <w:szCs w:val="24"/>
        </w:rPr>
        <w:t>,</w:t>
      </w:r>
      <w:r w:rsidRPr="00FB317F">
        <w:rPr>
          <w:szCs w:val="24"/>
        </w:rPr>
        <w:t xml:space="preserve"> může členský stát snížit celkový podíl energie z OZE v dopravě.</w:t>
      </w:r>
    </w:p>
    <w:p w:rsidR="008A2B1C" w:rsidRPr="00FB317F" w:rsidRDefault="00A90965" w:rsidP="0085092A">
      <w:pPr>
        <w:pStyle w:val="Standard"/>
        <w:spacing w:after="20"/>
        <w:rPr>
          <w:szCs w:val="24"/>
        </w:rPr>
      </w:pPr>
      <w:r w:rsidRPr="00FB317F">
        <w:rPr>
          <w:szCs w:val="24"/>
        </w:rPr>
        <w:t>Cíl pro pokročilá biopaliva a bioplyn uvedených v části A přílohy IX směrnice je 0,2 % v roce 2022, 1 % v roce 2025 a 3,5 % v roce 2030.</w:t>
      </w:r>
    </w:p>
    <w:p w:rsidR="008A2B1C" w:rsidRPr="00FB317F" w:rsidRDefault="00A90965" w:rsidP="0085092A">
      <w:pPr>
        <w:pStyle w:val="Standard"/>
        <w:spacing w:after="20"/>
        <w:rPr>
          <w:szCs w:val="24"/>
        </w:rPr>
      </w:pPr>
      <w:r w:rsidRPr="00FB317F">
        <w:rPr>
          <w:szCs w:val="24"/>
        </w:rPr>
        <w:t>Dvojí započítávání některých biopaliv a bioplynu je možné, pokud biopaliva a bioplyn byly vyrobeny ze surovin uvedených v </w:t>
      </w:r>
      <w:r w:rsidR="001B2593" w:rsidRPr="00FB317F">
        <w:rPr>
          <w:szCs w:val="24"/>
        </w:rPr>
        <w:t>částech</w:t>
      </w:r>
      <w:r w:rsidRPr="00FB317F">
        <w:rPr>
          <w:szCs w:val="24"/>
        </w:rPr>
        <w:t xml:space="preserve"> A </w:t>
      </w:r>
      <w:proofErr w:type="spellStart"/>
      <w:r w:rsidRPr="00FB317F">
        <w:rPr>
          <w:szCs w:val="24"/>
        </w:rPr>
        <w:t>a</w:t>
      </w:r>
      <w:proofErr w:type="spellEnd"/>
      <w:r w:rsidRPr="00FB317F">
        <w:rPr>
          <w:szCs w:val="24"/>
        </w:rPr>
        <w:t xml:space="preserve"> B </w:t>
      </w:r>
      <w:r w:rsidR="001B2593" w:rsidRPr="00FB317F">
        <w:rPr>
          <w:szCs w:val="24"/>
        </w:rPr>
        <w:t xml:space="preserve">přílohy </w:t>
      </w:r>
      <w:r w:rsidRPr="00FB317F">
        <w:rPr>
          <w:szCs w:val="24"/>
        </w:rPr>
        <w:t>IX směrnice 2015/1513.</w:t>
      </w:r>
    </w:p>
    <w:p w:rsidR="008A2B1C" w:rsidRPr="00FB317F" w:rsidRDefault="00A90965" w:rsidP="0085092A">
      <w:pPr>
        <w:pStyle w:val="Standard"/>
        <w:spacing w:after="20"/>
        <w:rPr>
          <w:szCs w:val="24"/>
        </w:rPr>
      </w:pPr>
      <w:r w:rsidRPr="00FB317F">
        <w:rPr>
          <w:szCs w:val="24"/>
        </w:rPr>
        <w:t>Pro výpočet čitatele se příspěvek z biopaliv a bioplynu vyrobeného ze vstupních surovin uvedených v části B přílohy IX (zahrnuje UCO a živočišné tuky) omezuje na 1,7</w:t>
      </w:r>
      <w:r w:rsidR="00960B3C" w:rsidRPr="00FB317F">
        <w:rPr>
          <w:szCs w:val="24"/>
        </w:rPr>
        <w:t> </w:t>
      </w:r>
      <w:r w:rsidRPr="00FB317F">
        <w:rPr>
          <w:szCs w:val="24"/>
        </w:rPr>
        <w:t>% energetického obsahu.</w:t>
      </w:r>
    </w:p>
    <w:p w:rsidR="008A2B1C" w:rsidRPr="00FB317F" w:rsidRDefault="00A90965" w:rsidP="0085092A">
      <w:pPr>
        <w:pStyle w:val="Standard"/>
        <w:spacing w:after="20"/>
        <w:rPr>
          <w:szCs w:val="24"/>
        </w:rPr>
      </w:pPr>
      <w:r w:rsidRPr="00FB317F">
        <w:rPr>
          <w:szCs w:val="24"/>
        </w:rPr>
        <w:t>Pro započtení násobitelů pro elektřinu z OZE platí: u železnice je násobitel 1,5</w:t>
      </w:r>
      <w:r w:rsidR="00960B3C" w:rsidRPr="00FB317F">
        <w:rPr>
          <w:szCs w:val="24"/>
        </w:rPr>
        <w:t>,</w:t>
      </w:r>
      <w:r w:rsidRPr="00FB317F">
        <w:rPr>
          <w:szCs w:val="24"/>
        </w:rPr>
        <w:t xml:space="preserve"> u silniční dopravy je násobitel 4. Pro výpočet se používá národní mix podílu energie z OZE.</w:t>
      </w:r>
    </w:p>
    <w:p w:rsidR="008A2B1C" w:rsidRPr="00FB317F" w:rsidRDefault="00A90965" w:rsidP="0085092A">
      <w:pPr>
        <w:pStyle w:val="Standard"/>
        <w:spacing w:after="20"/>
        <w:rPr>
          <w:szCs w:val="24"/>
        </w:rPr>
      </w:pPr>
      <w:r w:rsidRPr="00FB317F">
        <w:rPr>
          <w:szCs w:val="24"/>
        </w:rPr>
        <w:t>Snížení emisí skleníkových plynů ze spalování PHM zůstává na úrovni 6 %.</w:t>
      </w:r>
    </w:p>
    <w:p w:rsidR="00D23620" w:rsidRPr="00FB317F" w:rsidRDefault="00A90965" w:rsidP="005719BD">
      <w:pPr>
        <w:pStyle w:val="Standard"/>
        <w:rPr>
          <w:szCs w:val="24"/>
        </w:rPr>
      </w:pPr>
      <w:r w:rsidRPr="00FB317F">
        <w:rPr>
          <w:szCs w:val="24"/>
        </w:rPr>
        <w:t>Cíle musí splnit povinné osoby</w:t>
      </w:r>
      <w:r w:rsidR="00960B3C" w:rsidRPr="00FB317F">
        <w:rPr>
          <w:szCs w:val="24"/>
        </w:rPr>
        <w:t>,</w:t>
      </w:r>
      <w:r w:rsidRPr="00FB317F">
        <w:rPr>
          <w:szCs w:val="24"/>
        </w:rPr>
        <w:t xml:space="preserve"> tedy členské země a dodavatelé benzinu a motorové nafty.</w:t>
      </w:r>
      <w:r w:rsidR="00D23620" w:rsidRPr="00FB317F">
        <w:rPr>
          <w:szCs w:val="24"/>
        </w:rPr>
        <w:br w:type="page"/>
      </w:r>
    </w:p>
    <w:p w:rsidR="008A2B1C" w:rsidRPr="00FB317F" w:rsidRDefault="008A2B1C" w:rsidP="005719BD">
      <w:pPr>
        <w:pStyle w:val="Standard"/>
        <w:rPr>
          <w:szCs w:val="24"/>
        </w:rPr>
      </w:pPr>
    </w:p>
    <w:p w:rsidR="008A2B1C" w:rsidRPr="00FB317F" w:rsidRDefault="00A90965" w:rsidP="00FD4C88">
      <w:pPr>
        <w:pStyle w:val="Nadpis2"/>
        <w:numPr>
          <w:ilvl w:val="0"/>
          <w:numId w:val="36"/>
        </w:numPr>
        <w:tabs>
          <w:tab w:val="clear" w:pos="94"/>
          <w:tab w:val="left" w:pos="426"/>
        </w:tabs>
        <w:ind w:left="0" w:firstLine="0"/>
        <w:rPr>
          <w:sz w:val="24"/>
          <w:szCs w:val="24"/>
          <w:u w:val="single"/>
        </w:rPr>
      </w:pPr>
      <w:bookmarkStart w:id="23" w:name="_Toc38019652"/>
      <w:bookmarkStart w:id="24" w:name="_Toc38019715"/>
      <w:bookmarkStart w:id="25" w:name="_Toc38023727"/>
      <w:r w:rsidRPr="00FB317F">
        <w:rPr>
          <w:sz w:val="26"/>
        </w:rPr>
        <w:t>Charakteristika průmyslových změn</w:t>
      </w:r>
      <w:bookmarkEnd w:id="23"/>
      <w:bookmarkEnd w:id="24"/>
      <w:bookmarkEnd w:id="25"/>
    </w:p>
    <w:p w:rsidR="008A2B1C" w:rsidRPr="00FB317F" w:rsidRDefault="00A90965" w:rsidP="00660D64">
      <w:pPr>
        <w:pStyle w:val="Standard"/>
        <w:spacing w:after="60"/>
        <w:rPr>
          <w:szCs w:val="24"/>
        </w:rPr>
      </w:pPr>
      <w:r w:rsidRPr="00FB317F">
        <w:rPr>
          <w:szCs w:val="24"/>
        </w:rPr>
        <w:t>V souvislosti s ochranou klimatu a omezení</w:t>
      </w:r>
      <w:r w:rsidR="00660D64" w:rsidRPr="00FB317F">
        <w:rPr>
          <w:szCs w:val="24"/>
        </w:rPr>
        <w:t>m</w:t>
      </w:r>
      <w:r w:rsidRPr="00FB317F">
        <w:rPr>
          <w:szCs w:val="24"/>
        </w:rPr>
        <w:t>/zamezení</w:t>
      </w:r>
      <w:r w:rsidR="00660D64" w:rsidRPr="00FB317F">
        <w:rPr>
          <w:szCs w:val="24"/>
        </w:rPr>
        <w:t>m</w:t>
      </w:r>
      <w:r w:rsidRPr="00FB317F">
        <w:rPr>
          <w:szCs w:val="24"/>
        </w:rPr>
        <w:t xml:space="preserve"> čerpání neobnovitelných zdrojů energie se problematika týká výroby, distribuce a skladování energetických komodit</w:t>
      </w:r>
      <w:r w:rsidR="005719BD" w:rsidRPr="00FB317F">
        <w:rPr>
          <w:szCs w:val="24"/>
        </w:rPr>
        <w:t xml:space="preserve"> </w:t>
      </w:r>
      <w:r w:rsidRPr="00FB317F">
        <w:rPr>
          <w:szCs w:val="24"/>
        </w:rPr>
        <w:t>pro energetické účely (topení a klimatizace)</w:t>
      </w:r>
      <w:r w:rsidR="00660D64" w:rsidRPr="00FB317F">
        <w:rPr>
          <w:szCs w:val="24"/>
        </w:rPr>
        <w:t>,</w:t>
      </w:r>
      <w:r w:rsidRPr="00FB317F">
        <w:rPr>
          <w:szCs w:val="24"/>
        </w:rPr>
        <w:t xml:space="preserve"> dopravu a výrobu a užití motorových vozidel. V těchto oborech dojde k největším změnám.</w:t>
      </w:r>
    </w:p>
    <w:p w:rsidR="008A2B1C" w:rsidRPr="00FB317F" w:rsidRDefault="00A90965" w:rsidP="004D4453">
      <w:pPr>
        <w:pStyle w:val="Standard"/>
        <w:spacing w:after="20"/>
        <w:rPr>
          <w:i/>
          <w:iCs/>
          <w:szCs w:val="24"/>
        </w:rPr>
      </w:pPr>
      <w:r w:rsidRPr="00FB317F">
        <w:rPr>
          <w:i/>
          <w:iCs/>
          <w:szCs w:val="24"/>
        </w:rPr>
        <w:t>Předpokládané změny v horizontu 20 až 35 let</w:t>
      </w:r>
    </w:p>
    <w:p w:rsidR="008A2B1C" w:rsidRPr="00FB317F" w:rsidRDefault="00A90965" w:rsidP="00FD4C88">
      <w:pPr>
        <w:pStyle w:val="Standard"/>
        <w:numPr>
          <w:ilvl w:val="0"/>
          <w:numId w:val="40"/>
        </w:numPr>
        <w:spacing w:after="20"/>
        <w:ind w:left="357" w:hanging="357"/>
        <w:rPr>
          <w:szCs w:val="24"/>
        </w:rPr>
      </w:pPr>
      <w:r w:rsidRPr="00FB317F">
        <w:rPr>
          <w:szCs w:val="24"/>
        </w:rPr>
        <w:t xml:space="preserve">v oboru výroby energií půjde o postupné a dlouhodobé </w:t>
      </w:r>
      <w:r w:rsidR="00660D64" w:rsidRPr="00FB317F">
        <w:rPr>
          <w:szCs w:val="24"/>
        </w:rPr>
        <w:t xml:space="preserve">odstranění fosilních paliv (uhlí a ropy) </w:t>
      </w:r>
      <w:r w:rsidRPr="00FB317F">
        <w:rPr>
          <w:szCs w:val="24"/>
        </w:rPr>
        <w:t>ze spotřebitelského mixu a v delším časovém horizontu i zemního plynu. T</w:t>
      </w:r>
      <w:r w:rsidR="00660D64" w:rsidRPr="00FB317F">
        <w:rPr>
          <w:szCs w:val="24"/>
        </w:rPr>
        <w:t>a</w:t>
      </w:r>
      <w:r w:rsidRPr="00FB317F">
        <w:rPr>
          <w:szCs w:val="24"/>
        </w:rPr>
        <w:t>to paliva budou nahrazena palivy na bázi OZE a energií slunce, větru a vody a jadernou energií.</w:t>
      </w:r>
      <w:r w:rsidR="00660D64" w:rsidRPr="00FB317F">
        <w:rPr>
          <w:szCs w:val="24"/>
        </w:rPr>
        <w:t xml:space="preserve"> </w:t>
      </w:r>
      <w:r w:rsidRPr="00FB317F">
        <w:rPr>
          <w:szCs w:val="24"/>
        </w:rPr>
        <w:t>V</w:t>
      </w:r>
      <w:r w:rsidR="00660D64" w:rsidRPr="00FB317F">
        <w:rPr>
          <w:szCs w:val="24"/>
        </w:rPr>
        <w:t> </w:t>
      </w:r>
      <w:r w:rsidRPr="00FB317F">
        <w:rPr>
          <w:szCs w:val="24"/>
        </w:rPr>
        <w:t xml:space="preserve">segmentu snížení emisí </w:t>
      </w:r>
      <w:r w:rsidR="00605E52" w:rsidRPr="00FB317F">
        <w:rPr>
          <w:szCs w:val="24"/>
        </w:rPr>
        <w:t>skleníkových plynů</w:t>
      </w:r>
      <w:r w:rsidRPr="00FB317F">
        <w:rPr>
          <w:szCs w:val="24"/>
        </w:rPr>
        <w:t xml:space="preserve"> budou paliva nahrazena bez</w:t>
      </w:r>
      <w:r w:rsidR="00605E52" w:rsidRPr="00FB317F">
        <w:rPr>
          <w:szCs w:val="24"/>
        </w:rPr>
        <w:t>e</w:t>
      </w:r>
      <w:r w:rsidRPr="00FB317F">
        <w:rPr>
          <w:szCs w:val="24"/>
        </w:rPr>
        <w:t>m</w:t>
      </w:r>
      <w:r w:rsidR="00605E52" w:rsidRPr="00FB317F">
        <w:rPr>
          <w:szCs w:val="24"/>
        </w:rPr>
        <w:t>i</w:t>
      </w:r>
      <w:r w:rsidRPr="00FB317F">
        <w:rPr>
          <w:szCs w:val="24"/>
        </w:rPr>
        <w:t>sními palivy</w:t>
      </w:r>
      <w:r w:rsidR="00605E52" w:rsidRPr="00FB317F">
        <w:rPr>
          <w:szCs w:val="24"/>
        </w:rPr>
        <w:t xml:space="preserve">, </w:t>
      </w:r>
      <w:r w:rsidRPr="00FB317F">
        <w:rPr>
          <w:szCs w:val="24"/>
        </w:rPr>
        <w:t>jako je vodík</w:t>
      </w:r>
      <w:r w:rsidR="00605E52" w:rsidRPr="00FB317F">
        <w:rPr>
          <w:szCs w:val="24"/>
        </w:rPr>
        <w:t>,</w:t>
      </w:r>
      <w:r w:rsidRPr="00FB317F">
        <w:rPr>
          <w:szCs w:val="24"/>
        </w:rPr>
        <w:t xml:space="preserve"> a </w:t>
      </w:r>
      <w:r w:rsidR="004E2C42" w:rsidRPr="00FB317F">
        <w:rPr>
          <w:szCs w:val="24"/>
        </w:rPr>
        <w:t>technologiemi</w:t>
      </w:r>
      <w:r w:rsidRPr="00FB317F">
        <w:rPr>
          <w:szCs w:val="24"/>
        </w:rPr>
        <w:t xml:space="preserve"> </w:t>
      </w:r>
      <w:r w:rsidR="004E2C42" w:rsidRPr="00FB317F">
        <w:rPr>
          <w:szCs w:val="24"/>
        </w:rPr>
        <w:t>zpracovávajícími</w:t>
      </w:r>
      <w:r w:rsidRPr="00FB317F">
        <w:rPr>
          <w:szCs w:val="24"/>
        </w:rPr>
        <w:t xml:space="preserve"> CO2 jako surovinu pro výrobu např</w:t>
      </w:r>
      <w:r w:rsidR="004E2C42" w:rsidRPr="00FB317F">
        <w:rPr>
          <w:szCs w:val="24"/>
        </w:rPr>
        <w:t xml:space="preserve">. </w:t>
      </w:r>
      <w:r w:rsidRPr="00FB317F">
        <w:rPr>
          <w:szCs w:val="24"/>
        </w:rPr>
        <w:t>syntetických uhlíkových paliv (cirkulární ekonomika)</w:t>
      </w:r>
      <w:r w:rsidR="004E2C42" w:rsidRPr="00FB317F">
        <w:rPr>
          <w:szCs w:val="24"/>
        </w:rPr>
        <w:t>;</w:t>
      </w:r>
    </w:p>
    <w:p w:rsidR="008A2B1C" w:rsidRPr="00FB317F" w:rsidRDefault="00A90965" w:rsidP="00FD4C88">
      <w:pPr>
        <w:pStyle w:val="Standard"/>
        <w:numPr>
          <w:ilvl w:val="0"/>
          <w:numId w:val="40"/>
        </w:numPr>
        <w:spacing w:after="20"/>
        <w:ind w:left="357" w:hanging="357"/>
        <w:rPr>
          <w:szCs w:val="24"/>
        </w:rPr>
      </w:pPr>
      <w:r w:rsidRPr="00FB317F">
        <w:rPr>
          <w:szCs w:val="24"/>
        </w:rPr>
        <w:t>v oboru strojů pro dopravu</w:t>
      </w:r>
      <w:r w:rsidR="004E2C42" w:rsidRPr="00FB317F">
        <w:rPr>
          <w:szCs w:val="24"/>
        </w:rPr>
        <w:t xml:space="preserve"> může v</w:t>
      </w:r>
      <w:r w:rsidRPr="00FB317F">
        <w:rPr>
          <w:szCs w:val="24"/>
        </w:rPr>
        <w:t xml:space="preserve"> dlouhodobém horizontu dojít k náhradě tepelných strojů stroji elektrickými nebo kombinovanými (hybridy). Palivem pro tepelné stroje budou bezemisní a nízkoemisní paliva a vodík.</w:t>
      </w:r>
    </w:p>
    <w:p w:rsidR="008A2B1C" w:rsidRPr="00FB317F" w:rsidRDefault="00A90965">
      <w:pPr>
        <w:pStyle w:val="Standard"/>
        <w:rPr>
          <w:szCs w:val="24"/>
        </w:rPr>
      </w:pPr>
      <w:r w:rsidRPr="00FB317F">
        <w:rPr>
          <w:szCs w:val="24"/>
        </w:rPr>
        <w:t>Všechny tyto popsané změny budou vyžadovat širokou mezinárodní spolupráci v oblasti vědy a výzkumu a budou muset mít politickou a sociální podporu.</w:t>
      </w:r>
    </w:p>
    <w:p w:rsidR="008A2B1C" w:rsidRPr="00FB317F" w:rsidRDefault="00A90965" w:rsidP="00FD4C88">
      <w:pPr>
        <w:pStyle w:val="Nadpis2"/>
        <w:numPr>
          <w:ilvl w:val="0"/>
          <w:numId w:val="36"/>
        </w:numPr>
        <w:tabs>
          <w:tab w:val="clear" w:pos="94"/>
          <w:tab w:val="left" w:pos="426"/>
        </w:tabs>
        <w:ind w:left="709" w:hanging="709"/>
        <w:rPr>
          <w:sz w:val="26"/>
        </w:rPr>
      </w:pPr>
      <w:bookmarkStart w:id="26" w:name="_Toc38019653"/>
      <w:bookmarkStart w:id="27" w:name="_Toc38019716"/>
      <w:bookmarkStart w:id="28" w:name="_Toc38023728"/>
      <w:r w:rsidRPr="00FB317F">
        <w:rPr>
          <w:sz w:val="26"/>
        </w:rPr>
        <w:t>Základní scénář konkretizace opatření vnitrostátního plánu v oblasti energetiky a</w:t>
      </w:r>
      <w:r w:rsidR="004E2C42" w:rsidRPr="00FB317F">
        <w:rPr>
          <w:sz w:val="26"/>
        </w:rPr>
        <w:t> </w:t>
      </w:r>
      <w:r w:rsidRPr="00FB317F">
        <w:rPr>
          <w:sz w:val="26"/>
        </w:rPr>
        <w:t>klimatu ČR</w:t>
      </w:r>
      <w:bookmarkEnd w:id="26"/>
      <w:bookmarkEnd w:id="27"/>
      <w:bookmarkEnd w:id="28"/>
    </w:p>
    <w:p w:rsidR="008A2B1C" w:rsidRPr="00FB317F" w:rsidRDefault="00A67068" w:rsidP="00FD4C88">
      <w:pPr>
        <w:pStyle w:val="Standard"/>
        <w:numPr>
          <w:ilvl w:val="0"/>
          <w:numId w:val="41"/>
        </w:numPr>
        <w:spacing w:after="20"/>
        <w:ind w:left="357" w:hanging="357"/>
        <w:rPr>
          <w:szCs w:val="24"/>
        </w:rPr>
      </w:pPr>
      <w:r w:rsidRPr="00FB317F">
        <w:rPr>
          <w:szCs w:val="24"/>
        </w:rPr>
        <w:t>t</w:t>
      </w:r>
      <w:r w:rsidR="00A90965" w:rsidRPr="00FB317F">
        <w:rPr>
          <w:szCs w:val="24"/>
        </w:rPr>
        <w:t xml:space="preserve">ransformace bioplynu na biometan pro dopravu a vtlačování do </w:t>
      </w:r>
      <w:r w:rsidRPr="00FB317F">
        <w:rPr>
          <w:szCs w:val="24"/>
        </w:rPr>
        <w:t>sítě</w:t>
      </w:r>
      <w:r w:rsidR="00A90965" w:rsidRPr="00FB317F">
        <w:rPr>
          <w:szCs w:val="24"/>
        </w:rPr>
        <w:t xml:space="preserve"> zemního plynu</w:t>
      </w:r>
      <w:r w:rsidRPr="00FB317F">
        <w:rPr>
          <w:szCs w:val="24"/>
        </w:rPr>
        <w:t>; b</w:t>
      </w:r>
      <w:r w:rsidR="00A90965" w:rsidRPr="00FB317F">
        <w:rPr>
          <w:szCs w:val="24"/>
        </w:rPr>
        <w:t>ude nutné přezkoumat potenciál výroby biometanu pro dopravu</w:t>
      </w:r>
      <w:r w:rsidRPr="00FB317F">
        <w:rPr>
          <w:szCs w:val="24"/>
        </w:rPr>
        <w:t>;</w:t>
      </w:r>
    </w:p>
    <w:p w:rsidR="008A2B1C" w:rsidRPr="00FB317F" w:rsidRDefault="00A67068" w:rsidP="00FD4C88">
      <w:pPr>
        <w:pStyle w:val="Standard"/>
        <w:numPr>
          <w:ilvl w:val="0"/>
          <w:numId w:val="41"/>
        </w:numPr>
        <w:spacing w:after="20"/>
        <w:ind w:left="357" w:hanging="357"/>
        <w:rPr>
          <w:szCs w:val="24"/>
        </w:rPr>
      </w:pPr>
      <w:r w:rsidRPr="00FB317F">
        <w:rPr>
          <w:szCs w:val="24"/>
        </w:rPr>
        <w:t>p</w:t>
      </w:r>
      <w:r w:rsidR="00A90965" w:rsidRPr="00FB317F">
        <w:rPr>
          <w:szCs w:val="24"/>
        </w:rPr>
        <w:t xml:space="preserve">řídavek „zeleného vodíku“ do rozvodné </w:t>
      </w:r>
      <w:r w:rsidRPr="00FB317F">
        <w:rPr>
          <w:szCs w:val="24"/>
        </w:rPr>
        <w:t>sítě</w:t>
      </w:r>
      <w:r w:rsidR="00A90965" w:rsidRPr="00FB317F">
        <w:rPr>
          <w:szCs w:val="24"/>
        </w:rPr>
        <w:t xml:space="preserve"> zemního plynu</w:t>
      </w:r>
      <w:r w:rsidRPr="00FB317F">
        <w:rPr>
          <w:szCs w:val="24"/>
        </w:rPr>
        <w:t>;</w:t>
      </w:r>
    </w:p>
    <w:p w:rsidR="008A2B1C" w:rsidRPr="00FB317F" w:rsidRDefault="00AB669C" w:rsidP="00FD4C88">
      <w:pPr>
        <w:pStyle w:val="Standard"/>
        <w:numPr>
          <w:ilvl w:val="0"/>
          <w:numId w:val="41"/>
        </w:numPr>
        <w:spacing w:after="20"/>
        <w:ind w:left="357" w:hanging="357"/>
        <w:rPr>
          <w:szCs w:val="24"/>
        </w:rPr>
      </w:pPr>
      <w:r w:rsidRPr="00FB317F">
        <w:rPr>
          <w:szCs w:val="24"/>
        </w:rPr>
        <w:t>p</w:t>
      </w:r>
      <w:r w:rsidR="00A90965" w:rsidRPr="00FB317F">
        <w:rPr>
          <w:szCs w:val="24"/>
        </w:rPr>
        <w:t>refe</w:t>
      </w:r>
      <w:r w:rsidRPr="00FB317F">
        <w:rPr>
          <w:szCs w:val="24"/>
        </w:rPr>
        <w:t>re</w:t>
      </w:r>
      <w:r w:rsidR="00A90965" w:rsidRPr="00FB317F">
        <w:rPr>
          <w:szCs w:val="24"/>
        </w:rPr>
        <w:t xml:space="preserve">nce CNG pohonu pro </w:t>
      </w:r>
      <w:r w:rsidR="00961BFA" w:rsidRPr="00FB317F">
        <w:rPr>
          <w:szCs w:val="24"/>
        </w:rPr>
        <w:t>veřejnou a městskou hromadnou dopravu</w:t>
      </w:r>
      <w:r w:rsidR="00A90965" w:rsidRPr="00FB317F">
        <w:rPr>
          <w:szCs w:val="24"/>
        </w:rPr>
        <w:t>. Podpora uzavřených flotil vozidel na CNG (svozov</w:t>
      </w:r>
      <w:r w:rsidR="00961BFA" w:rsidRPr="00FB317F">
        <w:rPr>
          <w:szCs w:val="24"/>
        </w:rPr>
        <w:t>á</w:t>
      </w:r>
      <w:r w:rsidR="00A90965" w:rsidRPr="00FB317F">
        <w:rPr>
          <w:szCs w:val="24"/>
        </w:rPr>
        <w:t xml:space="preserve"> a komunální vozidla)</w:t>
      </w:r>
      <w:r w:rsidR="00961BFA" w:rsidRPr="00FB317F">
        <w:rPr>
          <w:szCs w:val="24"/>
        </w:rPr>
        <w:t>,</w:t>
      </w:r>
      <w:r w:rsidR="00A90965" w:rsidRPr="00FB317F">
        <w:rPr>
          <w:szCs w:val="24"/>
        </w:rPr>
        <w:t xml:space="preserve"> což vyžaduje lokální řešení</w:t>
      </w:r>
      <w:r w:rsidR="00961BFA" w:rsidRPr="00FB317F">
        <w:rPr>
          <w:szCs w:val="24"/>
        </w:rPr>
        <w:t>;</w:t>
      </w:r>
    </w:p>
    <w:p w:rsidR="008A2B1C" w:rsidRPr="00FB317F" w:rsidRDefault="00961BFA" w:rsidP="00FD4C88">
      <w:pPr>
        <w:pStyle w:val="Standard"/>
        <w:numPr>
          <w:ilvl w:val="0"/>
          <w:numId w:val="41"/>
        </w:numPr>
        <w:spacing w:after="20"/>
        <w:ind w:left="357" w:hanging="357"/>
        <w:rPr>
          <w:szCs w:val="24"/>
        </w:rPr>
      </w:pPr>
      <w:r w:rsidRPr="00FB317F">
        <w:rPr>
          <w:szCs w:val="24"/>
        </w:rPr>
        <w:t>i</w:t>
      </w:r>
      <w:r w:rsidR="00A90965" w:rsidRPr="00FB317F">
        <w:rPr>
          <w:szCs w:val="24"/>
        </w:rPr>
        <w:t>nvestiční program plnicí infrastruktury LNG v dálkové nákladní silniční dopravě</w:t>
      </w:r>
      <w:r w:rsidRPr="00FB317F">
        <w:rPr>
          <w:szCs w:val="24"/>
        </w:rPr>
        <w:t>;</w:t>
      </w:r>
    </w:p>
    <w:p w:rsidR="008A2B1C" w:rsidRPr="00FB317F" w:rsidRDefault="00961BFA" w:rsidP="00FD4C88">
      <w:pPr>
        <w:pStyle w:val="Standard"/>
        <w:numPr>
          <w:ilvl w:val="0"/>
          <w:numId w:val="41"/>
        </w:numPr>
        <w:spacing w:after="20"/>
        <w:ind w:left="357" w:hanging="357"/>
        <w:rPr>
          <w:szCs w:val="24"/>
        </w:rPr>
      </w:pPr>
      <w:r w:rsidRPr="00FB317F">
        <w:rPr>
          <w:szCs w:val="24"/>
        </w:rPr>
        <w:t>v</w:t>
      </w:r>
      <w:r w:rsidR="00A90965" w:rsidRPr="00FB317F">
        <w:rPr>
          <w:szCs w:val="24"/>
        </w:rPr>
        <w:t>ybudování vodíkové infastruktury</w:t>
      </w:r>
      <w:r w:rsidRPr="00FB317F">
        <w:rPr>
          <w:szCs w:val="24"/>
        </w:rPr>
        <w:t>;</w:t>
      </w:r>
    </w:p>
    <w:p w:rsidR="008A2B1C" w:rsidRPr="00FB317F" w:rsidRDefault="00961BFA" w:rsidP="00FD4C88">
      <w:pPr>
        <w:pStyle w:val="Standard"/>
        <w:numPr>
          <w:ilvl w:val="0"/>
          <w:numId w:val="41"/>
        </w:numPr>
        <w:spacing w:after="20"/>
        <w:ind w:left="357" w:hanging="357"/>
        <w:rPr>
          <w:szCs w:val="24"/>
        </w:rPr>
      </w:pPr>
      <w:r w:rsidRPr="00FB317F">
        <w:rPr>
          <w:szCs w:val="24"/>
        </w:rPr>
        <w:t>p</w:t>
      </w:r>
      <w:r w:rsidR="00A90965" w:rsidRPr="00FB317F">
        <w:rPr>
          <w:szCs w:val="24"/>
        </w:rPr>
        <w:t>odpora dobíjecí infastruktury pro elektromobily</w:t>
      </w:r>
      <w:r w:rsidRPr="00FB317F">
        <w:rPr>
          <w:szCs w:val="24"/>
        </w:rPr>
        <w:t>;</w:t>
      </w:r>
    </w:p>
    <w:p w:rsidR="008A2B1C" w:rsidRPr="00FB317F" w:rsidRDefault="00961BFA" w:rsidP="00FD4C88">
      <w:pPr>
        <w:pStyle w:val="Standard"/>
        <w:numPr>
          <w:ilvl w:val="0"/>
          <w:numId w:val="41"/>
        </w:numPr>
        <w:spacing w:after="20"/>
        <w:ind w:left="357" w:hanging="357"/>
        <w:rPr>
          <w:szCs w:val="24"/>
        </w:rPr>
      </w:pPr>
      <w:r w:rsidRPr="00FB317F">
        <w:rPr>
          <w:szCs w:val="24"/>
        </w:rPr>
        <w:t>p</w:t>
      </w:r>
      <w:r w:rsidR="00A90965" w:rsidRPr="00FB317F">
        <w:rPr>
          <w:szCs w:val="24"/>
        </w:rPr>
        <w:t>lošné zavedení benzinu E10</w:t>
      </w:r>
      <w:r w:rsidRPr="00FB317F">
        <w:rPr>
          <w:szCs w:val="24"/>
        </w:rPr>
        <w:t>;</w:t>
      </w:r>
    </w:p>
    <w:p w:rsidR="008A2B1C" w:rsidRPr="00FB317F" w:rsidRDefault="00961BFA" w:rsidP="00FD4C88">
      <w:pPr>
        <w:pStyle w:val="Standard"/>
        <w:numPr>
          <w:ilvl w:val="0"/>
          <w:numId w:val="41"/>
        </w:numPr>
        <w:spacing w:after="20"/>
        <w:ind w:left="357" w:hanging="357"/>
        <w:rPr>
          <w:szCs w:val="24"/>
        </w:rPr>
      </w:pPr>
      <w:r w:rsidRPr="00FB317F">
        <w:rPr>
          <w:szCs w:val="24"/>
        </w:rPr>
        <w:t>p</w:t>
      </w:r>
      <w:r w:rsidR="00A90965" w:rsidRPr="00FB317F">
        <w:rPr>
          <w:szCs w:val="24"/>
        </w:rPr>
        <w:t>lošné zavedení motorové nafty B8 nebo B10</w:t>
      </w:r>
      <w:r w:rsidRPr="00FB317F">
        <w:rPr>
          <w:szCs w:val="24"/>
        </w:rPr>
        <w:t>;</w:t>
      </w:r>
    </w:p>
    <w:p w:rsidR="008A2B1C" w:rsidRPr="00FB317F" w:rsidRDefault="00961BFA" w:rsidP="00FD4C88">
      <w:pPr>
        <w:pStyle w:val="Standard"/>
        <w:numPr>
          <w:ilvl w:val="0"/>
          <w:numId w:val="41"/>
        </w:numPr>
        <w:spacing w:after="20"/>
        <w:ind w:left="357" w:hanging="357"/>
        <w:rPr>
          <w:szCs w:val="24"/>
        </w:rPr>
      </w:pPr>
      <w:proofErr w:type="spellStart"/>
      <w:r w:rsidRPr="00FB317F">
        <w:rPr>
          <w:szCs w:val="24"/>
        </w:rPr>
        <w:t>v</w:t>
      </w:r>
      <w:r w:rsidR="00A90965" w:rsidRPr="00FB317F">
        <w:rPr>
          <w:szCs w:val="24"/>
        </w:rPr>
        <w:t>ysokokoncentrovaná</w:t>
      </w:r>
      <w:proofErr w:type="spellEnd"/>
      <w:r w:rsidR="00A90965" w:rsidRPr="00FB317F">
        <w:rPr>
          <w:szCs w:val="24"/>
        </w:rPr>
        <w:t xml:space="preserve"> biopaliva pro uzavřené flotily vozidel</w:t>
      </w:r>
      <w:r w:rsidRPr="00FB317F">
        <w:rPr>
          <w:szCs w:val="24"/>
        </w:rPr>
        <w:t>;</w:t>
      </w:r>
    </w:p>
    <w:p w:rsidR="008A2B1C" w:rsidRPr="00FB317F" w:rsidRDefault="00961BFA" w:rsidP="00FD4C88">
      <w:pPr>
        <w:pStyle w:val="Standard"/>
        <w:numPr>
          <w:ilvl w:val="0"/>
          <w:numId w:val="41"/>
        </w:numPr>
        <w:spacing w:after="20"/>
        <w:ind w:left="357" w:hanging="357"/>
        <w:rPr>
          <w:szCs w:val="24"/>
        </w:rPr>
      </w:pPr>
      <w:r w:rsidRPr="00FB317F">
        <w:rPr>
          <w:szCs w:val="24"/>
        </w:rPr>
        <w:t>r</w:t>
      </w:r>
      <w:r w:rsidR="00A90965" w:rsidRPr="00FB317F">
        <w:rPr>
          <w:szCs w:val="24"/>
        </w:rPr>
        <w:t>evize povinnosti snižování emisí skleníkových plynů</w:t>
      </w:r>
      <w:r w:rsidRPr="00FB317F">
        <w:rPr>
          <w:szCs w:val="24"/>
        </w:rPr>
        <w:t>;</w:t>
      </w:r>
    </w:p>
    <w:p w:rsidR="008A2B1C" w:rsidRPr="00FB317F" w:rsidRDefault="00961BFA" w:rsidP="00FD4C88">
      <w:pPr>
        <w:pStyle w:val="Standard"/>
        <w:numPr>
          <w:ilvl w:val="0"/>
          <w:numId w:val="41"/>
        </w:numPr>
        <w:spacing w:after="20"/>
        <w:ind w:left="357" w:hanging="357"/>
        <w:rPr>
          <w:szCs w:val="24"/>
        </w:rPr>
      </w:pPr>
      <w:r w:rsidRPr="00FB317F">
        <w:rPr>
          <w:szCs w:val="24"/>
        </w:rPr>
        <w:t>s</w:t>
      </w:r>
      <w:r w:rsidR="00A90965" w:rsidRPr="00FB317F">
        <w:rPr>
          <w:szCs w:val="24"/>
        </w:rPr>
        <w:t>tanovení poměrného a vyššího podílu pokročilých biopaliv</w:t>
      </w:r>
      <w:r w:rsidRPr="00FB317F">
        <w:rPr>
          <w:szCs w:val="24"/>
        </w:rPr>
        <w:t>;</w:t>
      </w:r>
    </w:p>
    <w:p w:rsidR="008A2B1C" w:rsidRPr="00FB317F" w:rsidRDefault="00961BFA" w:rsidP="00FD4C88">
      <w:pPr>
        <w:pStyle w:val="Standard"/>
        <w:numPr>
          <w:ilvl w:val="0"/>
          <w:numId w:val="41"/>
        </w:numPr>
        <w:spacing w:after="20"/>
        <w:ind w:left="357" w:hanging="357"/>
        <w:rPr>
          <w:szCs w:val="24"/>
        </w:rPr>
      </w:pPr>
      <w:r w:rsidRPr="00FB317F">
        <w:rPr>
          <w:szCs w:val="24"/>
        </w:rPr>
        <w:t>v</w:t>
      </w:r>
      <w:r w:rsidR="00A90965" w:rsidRPr="00FB317F">
        <w:rPr>
          <w:szCs w:val="24"/>
        </w:rPr>
        <w:t>ybudování výrobních kapacit na výrobu HVO</w:t>
      </w:r>
      <w:r w:rsidRPr="00FB317F">
        <w:rPr>
          <w:szCs w:val="24"/>
        </w:rPr>
        <w:t>;</w:t>
      </w:r>
    </w:p>
    <w:p w:rsidR="008A2B1C" w:rsidRPr="00FB317F" w:rsidRDefault="00961BFA" w:rsidP="00FD4C88">
      <w:pPr>
        <w:pStyle w:val="Standard"/>
        <w:numPr>
          <w:ilvl w:val="0"/>
          <w:numId w:val="41"/>
        </w:numPr>
        <w:spacing w:after="20"/>
        <w:ind w:left="357" w:hanging="357"/>
        <w:rPr>
          <w:szCs w:val="24"/>
        </w:rPr>
      </w:pPr>
      <w:r w:rsidRPr="00FB317F">
        <w:rPr>
          <w:szCs w:val="24"/>
        </w:rPr>
        <w:t>v</w:t>
      </w:r>
      <w:r w:rsidR="00A90965" w:rsidRPr="00FB317F">
        <w:rPr>
          <w:szCs w:val="24"/>
        </w:rPr>
        <w:t xml:space="preserve">ybudování kapacit na zpracování rostlinných odpadů na </w:t>
      </w:r>
      <w:proofErr w:type="spellStart"/>
      <w:r w:rsidR="00A90965" w:rsidRPr="00FB317F">
        <w:rPr>
          <w:szCs w:val="24"/>
        </w:rPr>
        <w:t>synplyn</w:t>
      </w:r>
      <w:proofErr w:type="spellEnd"/>
      <w:r w:rsidRPr="00FB317F">
        <w:rPr>
          <w:szCs w:val="24"/>
        </w:rPr>
        <w:t>;</w:t>
      </w:r>
    </w:p>
    <w:p w:rsidR="008A2B1C" w:rsidRPr="00FB317F" w:rsidRDefault="00961BFA" w:rsidP="00FD4C88">
      <w:pPr>
        <w:pStyle w:val="Standard"/>
        <w:numPr>
          <w:ilvl w:val="0"/>
          <w:numId w:val="41"/>
        </w:numPr>
        <w:spacing w:after="20"/>
        <w:ind w:left="357" w:hanging="357"/>
        <w:rPr>
          <w:szCs w:val="24"/>
        </w:rPr>
      </w:pPr>
      <w:r w:rsidRPr="00FB317F">
        <w:rPr>
          <w:szCs w:val="24"/>
        </w:rPr>
        <w:t>i</w:t>
      </w:r>
      <w:r w:rsidR="00A90965" w:rsidRPr="00FB317F">
        <w:rPr>
          <w:szCs w:val="24"/>
        </w:rPr>
        <w:t>nvestiční podpora výrobních kapacit na recyklaci plastů</w:t>
      </w:r>
      <w:r w:rsidRPr="00FB317F">
        <w:rPr>
          <w:szCs w:val="24"/>
        </w:rPr>
        <w:t>;</w:t>
      </w:r>
    </w:p>
    <w:p w:rsidR="008A2B1C" w:rsidRPr="00FB317F" w:rsidRDefault="00961BFA" w:rsidP="00FD4C88">
      <w:pPr>
        <w:pStyle w:val="Standard"/>
        <w:numPr>
          <w:ilvl w:val="0"/>
          <w:numId w:val="41"/>
        </w:numPr>
        <w:spacing w:after="20"/>
        <w:ind w:left="357" w:hanging="357"/>
        <w:rPr>
          <w:szCs w:val="24"/>
        </w:rPr>
      </w:pPr>
      <w:r w:rsidRPr="00FB317F">
        <w:rPr>
          <w:szCs w:val="24"/>
        </w:rPr>
        <w:t>i</w:t>
      </w:r>
      <w:r w:rsidR="00A90965" w:rsidRPr="00FB317F">
        <w:rPr>
          <w:szCs w:val="24"/>
        </w:rPr>
        <w:t>nvestiční podpora recyklace CO2 na uhlíkatá paliva</w:t>
      </w:r>
      <w:r w:rsidRPr="00FB317F">
        <w:rPr>
          <w:szCs w:val="24"/>
        </w:rPr>
        <w:t>;</w:t>
      </w:r>
    </w:p>
    <w:p w:rsidR="008A2B1C" w:rsidRPr="00FB317F" w:rsidRDefault="00961BFA" w:rsidP="00FD4C88">
      <w:pPr>
        <w:pStyle w:val="Standard"/>
        <w:numPr>
          <w:ilvl w:val="0"/>
          <w:numId w:val="41"/>
        </w:numPr>
        <w:spacing w:after="20"/>
        <w:ind w:left="357" w:hanging="357"/>
        <w:rPr>
          <w:szCs w:val="24"/>
        </w:rPr>
      </w:pPr>
      <w:proofErr w:type="spellStart"/>
      <w:r w:rsidRPr="00FB317F">
        <w:rPr>
          <w:szCs w:val="24"/>
        </w:rPr>
        <w:t>z</w:t>
      </w:r>
      <w:r w:rsidR="00A90965" w:rsidRPr="00FB317F">
        <w:rPr>
          <w:szCs w:val="24"/>
        </w:rPr>
        <w:t>astropování</w:t>
      </w:r>
      <w:proofErr w:type="spellEnd"/>
      <w:r w:rsidR="00A90965" w:rsidRPr="00FB317F">
        <w:rPr>
          <w:szCs w:val="24"/>
        </w:rPr>
        <w:t xml:space="preserve"> biopaliv z potravinářských a krmných plodin</w:t>
      </w:r>
      <w:r w:rsidRPr="00FB317F">
        <w:rPr>
          <w:szCs w:val="24"/>
        </w:rPr>
        <w:t>;</w:t>
      </w:r>
    </w:p>
    <w:p w:rsidR="008A2B1C" w:rsidRPr="00FB317F" w:rsidRDefault="00961BFA" w:rsidP="00FD4C88">
      <w:pPr>
        <w:pStyle w:val="Standard"/>
        <w:numPr>
          <w:ilvl w:val="0"/>
          <w:numId w:val="41"/>
        </w:numPr>
        <w:spacing w:after="120"/>
        <w:ind w:left="357" w:hanging="357"/>
        <w:rPr>
          <w:szCs w:val="24"/>
        </w:rPr>
      </w:pPr>
      <w:r w:rsidRPr="00FB317F">
        <w:rPr>
          <w:szCs w:val="24"/>
        </w:rPr>
        <w:t>v</w:t>
      </w:r>
      <w:r w:rsidR="00A90965" w:rsidRPr="00FB317F">
        <w:rPr>
          <w:szCs w:val="24"/>
        </w:rPr>
        <w:t xml:space="preserve">ýroba </w:t>
      </w:r>
      <w:proofErr w:type="spellStart"/>
      <w:r w:rsidR="00A90965" w:rsidRPr="00FB317F">
        <w:rPr>
          <w:szCs w:val="24"/>
        </w:rPr>
        <w:t>bioLPG</w:t>
      </w:r>
      <w:proofErr w:type="spellEnd"/>
      <w:r w:rsidRPr="00FB317F">
        <w:rPr>
          <w:szCs w:val="24"/>
        </w:rPr>
        <w:t>.</w:t>
      </w:r>
    </w:p>
    <w:p w:rsidR="008A2B1C" w:rsidRPr="00FB317F" w:rsidRDefault="00A90965" w:rsidP="00BA5B39">
      <w:pPr>
        <w:pStyle w:val="Standard"/>
        <w:spacing w:after="20"/>
        <w:rPr>
          <w:i/>
          <w:iCs/>
          <w:szCs w:val="24"/>
        </w:rPr>
      </w:pPr>
      <w:r w:rsidRPr="00FB317F">
        <w:rPr>
          <w:i/>
          <w:iCs/>
          <w:szCs w:val="24"/>
        </w:rPr>
        <w:t xml:space="preserve">Některé dlouhodobě perspektivní </w:t>
      </w:r>
      <w:proofErr w:type="spellStart"/>
      <w:r w:rsidRPr="00FB317F">
        <w:rPr>
          <w:i/>
          <w:iCs/>
          <w:szCs w:val="24"/>
        </w:rPr>
        <w:t>VaV</w:t>
      </w:r>
      <w:proofErr w:type="spellEnd"/>
      <w:r w:rsidRPr="00FB317F">
        <w:rPr>
          <w:i/>
          <w:iCs/>
          <w:szCs w:val="24"/>
        </w:rPr>
        <w:t xml:space="preserve"> náměty</w:t>
      </w:r>
    </w:p>
    <w:p w:rsidR="008A2B1C" w:rsidRPr="00FB317F" w:rsidRDefault="00A90965" w:rsidP="00FD4C88">
      <w:pPr>
        <w:pStyle w:val="Standard"/>
        <w:numPr>
          <w:ilvl w:val="0"/>
          <w:numId w:val="42"/>
        </w:numPr>
        <w:spacing w:after="20"/>
        <w:ind w:left="357" w:hanging="357"/>
        <w:rPr>
          <w:szCs w:val="24"/>
        </w:rPr>
      </w:pPr>
      <w:r w:rsidRPr="00FB317F">
        <w:rPr>
          <w:szCs w:val="24"/>
        </w:rPr>
        <w:t>výroba biometanu pro pohon z komunálního městského odpadu a odpadních kalů z</w:t>
      </w:r>
      <w:r w:rsidR="00403E9B" w:rsidRPr="00FB317F">
        <w:rPr>
          <w:szCs w:val="24"/>
        </w:rPr>
        <w:t> biologických čistíren odpadních vod;</w:t>
      </w:r>
    </w:p>
    <w:p w:rsidR="008A2B1C" w:rsidRPr="00FB317F" w:rsidRDefault="00A90965" w:rsidP="00FD4C88">
      <w:pPr>
        <w:pStyle w:val="Standard"/>
        <w:numPr>
          <w:ilvl w:val="0"/>
          <w:numId w:val="42"/>
        </w:numPr>
        <w:spacing w:after="20"/>
        <w:ind w:left="357" w:hanging="357"/>
        <w:rPr>
          <w:szCs w:val="24"/>
        </w:rPr>
      </w:pPr>
      <w:r w:rsidRPr="00FB317F">
        <w:rPr>
          <w:szCs w:val="24"/>
        </w:rPr>
        <w:t>výroba alifatických a cyklických uhlovodíků katalytickou dezoxidací nepotravinářské biomasy</w:t>
      </w:r>
      <w:r w:rsidR="00403E9B" w:rsidRPr="00FB317F">
        <w:rPr>
          <w:szCs w:val="24"/>
        </w:rPr>
        <w:t>;</w:t>
      </w:r>
    </w:p>
    <w:p w:rsidR="00753C00" w:rsidRPr="00FB317F" w:rsidRDefault="00A90965" w:rsidP="00FD4C88">
      <w:pPr>
        <w:pStyle w:val="Standard"/>
        <w:numPr>
          <w:ilvl w:val="0"/>
          <w:numId w:val="42"/>
        </w:numPr>
        <w:spacing w:after="20"/>
        <w:ind w:left="357" w:hanging="357"/>
        <w:rPr>
          <w:szCs w:val="24"/>
        </w:rPr>
      </w:pPr>
      <w:r w:rsidRPr="00FB317F">
        <w:rPr>
          <w:szCs w:val="24"/>
        </w:rPr>
        <w:t>pyrolýza plastových odpadů</w:t>
      </w:r>
      <w:r w:rsidR="00403E9B" w:rsidRPr="00FB317F">
        <w:rPr>
          <w:szCs w:val="24"/>
        </w:rPr>
        <w:t>;</w:t>
      </w:r>
      <w:r w:rsidR="00753C00" w:rsidRPr="00FB317F">
        <w:rPr>
          <w:szCs w:val="24"/>
        </w:rPr>
        <w:br w:type="page"/>
      </w:r>
    </w:p>
    <w:p w:rsidR="008A2B1C" w:rsidRPr="00FB317F" w:rsidRDefault="008A2B1C" w:rsidP="00753C00">
      <w:pPr>
        <w:pStyle w:val="Standard"/>
        <w:spacing w:after="20"/>
        <w:ind w:left="357"/>
        <w:rPr>
          <w:szCs w:val="24"/>
        </w:rPr>
      </w:pPr>
    </w:p>
    <w:p w:rsidR="00753C00" w:rsidRPr="00FB317F" w:rsidRDefault="00A90965" w:rsidP="00FD4C88">
      <w:pPr>
        <w:pStyle w:val="Standard"/>
        <w:numPr>
          <w:ilvl w:val="0"/>
          <w:numId w:val="42"/>
        </w:numPr>
        <w:spacing w:after="20"/>
        <w:ind w:left="357" w:hanging="357"/>
        <w:rPr>
          <w:szCs w:val="24"/>
        </w:rPr>
      </w:pPr>
      <w:r w:rsidRPr="00FB317F">
        <w:rPr>
          <w:szCs w:val="24"/>
        </w:rPr>
        <w:t xml:space="preserve">redukce CO2 na CO a jeho transformace přídavkem vodíku na </w:t>
      </w:r>
      <w:proofErr w:type="spellStart"/>
      <w:r w:rsidRPr="00FB317F">
        <w:rPr>
          <w:szCs w:val="24"/>
        </w:rPr>
        <w:t>synplyn</w:t>
      </w:r>
      <w:proofErr w:type="spellEnd"/>
      <w:r w:rsidRPr="00FB317F">
        <w:rPr>
          <w:szCs w:val="24"/>
        </w:rPr>
        <w:t xml:space="preserve"> působením sluneční </w:t>
      </w:r>
    </w:p>
    <w:p w:rsidR="008A2B1C" w:rsidRPr="00FB317F" w:rsidRDefault="00A90965" w:rsidP="00D424F5">
      <w:pPr>
        <w:pStyle w:val="Standard"/>
        <w:spacing w:after="20"/>
        <w:ind w:firstLine="357"/>
        <w:rPr>
          <w:szCs w:val="24"/>
        </w:rPr>
      </w:pPr>
      <w:r w:rsidRPr="00FB317F">
        <w:rPr>
          <w:szCs w:val="24"/>
        </w:rPr>
        <w:t>nebo</w:t>
      </w:r>
      <w:r w:rsidR="00403E9B" w:rsidRPr="00FB317F">
        <w:rPr>
          <w:szCs w:val="24"/>
        </w:rPr>
        <w:t xml:space="preserve"> </w:t>
      </w:r>
      <w:r w:rsidRPr="00FB317F">
        <w:rPr>
          <w:szCs w:val="24"/>
        </w:rPr>
        <w:t xml:space="preserve">elektrické energie na CO2 za přítomnosti katalyzátoru na bázi </w:t>
      </w:r>
      <w:proofErr w:type="spellStart"/>
      <w:r w:rsidRPr="00FB317F">
        <w:rPr>
          <w:szCs w:val="24"/>
        </w:rPr>
        <w:t>nanografenu</w:t>
      </w:r>
      <w:proofErr w:type="spellEnd"/>
      <w:r w:rsidRPr="00FB317F">
        <w:rPr>
          <w:szCs w:val="24"/>
        </w:rPr>
        <w:t xml:space="preserve"> a rhenia</w:t>
      </w:r>
      <w:r w:rsidR="00403E9B" w:rsidRPr="00FB317F">
        <w:rPr>
          <w:szCs w:val="24"/>
        </w:rPr>
        <w:t>;</w:t>
      </w:r>
    </w:p>
    <w:p w:rsidR="008A2B1C" w:rsidRPr="00FB317F" w:rsidRDefault="00A90965" w:rsidP="00FD4C88">
      <w:pPr>
        <w:pStyle w:val="Standard"/>
        <w:numPr>
          <w:ilvl w:val="0"/>
          <w:numId w:val="42"/>
        </w:numPr>
        <w:spacing w:after="60"/>
        <w:ind w:left="357" w:hanging="357"/>
        <w:rPr>
          <w:szCs w:val="24"/>
        </w:rPr>
      </w:pPr>
      <w:r w:rsidRPr="00FB317F">
        <w:rPr>
          <w:szCs w:val="24"/>
        </w:rPr>
        <w:t xml:space="preserve">cirkulární technologie redukce CO2 na CO a </w:t>
      </w:r>
      <w:r w:rsidR="00403E9B" w:rsidRPr="00FB317F">
        <w:rPr>
          <w:szCs w:val="24"/>
        </w:rPr>
        <w:t>syntéza</w:t>
      </w:r>
      <w:r w:rsidRPr="00FB317F">
        <w:rPr>
          <w:szCs w:val="24"/>
        </w:rPr>
        <w:t xml:space="preserve"> uhlovodíků s využitím FT </w:t>
      </w:r>
      <w:r w:rsidR="00403E9B" w:rsidRPr="00FB317F">
        <w:rPr>
          <w:szCs w:val="24"/>
        </w:rPr>
        <w:t>syntézy.</w:t>
      </w:r>
    </w:p>
    <w:p w:rsidR="008A2B1C" w:rsidRPr="00BA5B39" w:rsidRDefault="00A90965" w:rsidP="00753C00">
      <w:pPr>
        <w:pStyle w:val="Standard"/>
        <w:rPr>
          <w:szCs w:val="24"/>
        </w:rPr>
      </w:pPr>
      <w:r w:rsidRPr="00BA5B39">
        <w:rPr>
          <w:szCs w:val="24"/>
        </w:rPr>
        <w:t>Jedná se o témata s dlouhodobou udržitelností.</w:t>
      </w:r>
    </w:p>
    <w:p w:rsidR="008A2B1C" w:rsidRPr="00FB317F" w:rsidRDefault="00A90965" w:rsidP="00D713DD">
      <w:pPr>
        <w:pStyle w:val="Nadpis2"/>
        <w:numPr>
          <w:ilvl w:val="0"/>
          <w:numId w:val="34"/>
        </w:numPr>
        <w:tabs>
          <w:tab w:val="clear" w:pos="94"/>
          <w:tab w:val="left" w:pos="454"/>
        </w:tabs>
        <w:overflowPunct w:val="0"/>
        <w:autoSpaceDE w:val="0"/>
        <w:ind w:left="454" w:hanging="454"/>
      </w:pPr>
      <w:bookmarkStart w:id="29" w:name="_Toc38019654"/>
      <w:bookmarkStart w:id="30" w:name="_Toc38019717"/>
      <w:bookmarkStart w:id="31" w:name="_Toc38023729"/>
      <w:r w:rsidRPr="00FB317F">
        <w:t>Popis hlavních trendů technologického vývoje s ohledem na vývoj v</w:t>
      </w:r>
      <w:r w:rsidR="00753C00" w:rsidRPr="00FB317F">
        <w:t> </w:t>
      </w:r>
      <w:r w:rsidRPr="00FB317F">
        <w:t>letech 2019–2020</w:t>
      </w:r>
      <w:bookmarkEnd w:id="29"/>
      <w:bookmarkEnd w:id="30"/>
      <w:bookmarkEnd w:id="31"/>
    </w:p>
    <w:p w:rsidR="008A2B1C" w:rsidRPr="00FB317F" w:rsidRDefault="00A90965" w:rsidP="00BA5B39">
      <w:pPr>
        <w:pStyle w:val="Standard"/>
        <w:spacing w:after="20"/>
        <w:rPr>
          <w:szCs w:val="24"/>
        </w:rPr>
      </w:pPr>
      <w:r w:rsidRPr="00FB317F">
        <w:rPr>
          <w:szCs w:val="24"/>
        </w:rPr>
        <w:t>Technologický vývoj v oblasti alternativních a vyspělých paliv pro silniční dopravu se v</w:t>
      </w:r>
      <w:r w:rsidR="002D7795" w:rsidRPr="00FB317F">
        <w:rPr>
          <w:szCs w:val="24"/>
        </w:rPr>
        <w:t> </w:t>
      </w:r>
      <w:r w:rsidRPr="00FB317F">
        <w:rPr>
          <w:szCs w:val="24"/>
        </w:rPr>
        <w:t>současné době soustřeďuje do těchto oblastí:</w:t>
      </w:r>
    </w:p>
    <w:p w:rsidR="008A2B1C" w:rsidRPr="00FB317F" w:rsidRDefault="00A90965" w:rsidP="00FD4C88">
      <w:pPr>
        <w:pStyle w:val="Standard"/>
        <w:numPr>
          <w:ilvl w:val="0"/>
          <w:numId w:val="43"/>
        </w:numPr>
        <w:spacing w:after="20"/>
        <w:ind w:left="357" w:hanging="357"/>
        <w:rPr>
          <w:szCs w:val="24"/>
        </w:rPr>
      </w:pPr>
      <w:r w:rsidRPr="00FB317F">
        <w:rPr>
          <w:szCs w:val="24"/>
        </w:rPr>
        <w:t xml:space="preserve">vývoje nových vyspělých paliv s velmi nízkými emisemi skleníkových plynů na surovinové bázi nepotravinářské a </w:t>
      </w:r>
      <w:proofErr w:type="spellStart"/>
      <w:r w:rsidRPr="00FB317F">
        <w:rPr>
          <w:szCs w:val="24"/>
        </w:rPr>
        <w:t>nekrmivářské</w:t>
      </w:r>
      <w:proofErr w:type="spellEnd"/>
      <w:r w:rsidRPr="00FB317F">
        <w:rPr>
          <w:szCs w:val="24"/>
        </w:rPr>
        <w:t xml:space="preserve"> biomasy, odpadní zemědělské a lesnické biomasy a</w:t>
      </w:r>
      <w:r w:rsidR="002D7795" w:rsidRPr="00FB317F">
        <w:rPr>
          <w:szCs w:val="24"/>
        </w:rPr>
        <w:t> </w:t>
      </w:r>
      <w:r w:rsidRPr="00FB317F">
        <w:rPr>
          <w:szCs w:val="24"/>
        </w:rPr>
        <w:t xml:space="preserve">komunálních </w:t>
      </w:r>
      <w:proofErr w:type="spellStart"/>
      <w:r w:rsidRPr="00FB317F">
        <w:rPr>
          <w:szCs w:val="24"/>
        </w:rPr>
        <w:t>biodpadů</w:t>
      </w:r>
      <w:proofErr w:type="spellEnd"/>
      <w:r w:rsidRPr="00FB317F">
        <w:rPr>
          <w:szCs w:val="24"/>
        </w:rPr>
        <w:t xml:space="preserve"> a odpadů z čistíren BČOV. Z technologického pohledu jsou převážně aplikovány rafinérské procesy jako j</w:t>
      </w:r>
      <w:r w:rsidR="002D7795" w:rsidRPr="00FB317F">
        <w:rPr>
          <w:szCs w:val="24"/>
        </w:rPr>
        <w:t>sou</w:t>
      </w:r>
      <w:r w:rsidRPr="00FB317F">
        <w:rPr>
          <w:szCs w:val="24"/>
        </w:rPr>
        <w:t xml:space="preserve"> hydrogenace a </w:t>
      </w:r>
      <w:r w:rsidR="002D7795" w:rsidRPr="00FB317F">
        <w:rPr>
          <w:szCs w:val="24"/>
        </w:rPr>
        <w:t>izomerace</w:t>
      </w:r>
      <w:r w:rsidRPr="00FB317F">
        <w:rPr>
          <w:szCs w:val="24"/>
        </w:rPr>
        <w:t>. Příkladem typických koncových produktů je HVO, DME apod. Technologie také slouží k výrobě tzv.</w:t>
      </w:r>
      <w:r w:rsidR="002D7795" w:rsidRPr="00FB317F">
        <w:rPr>
          <w:szCs w:val="24"/>
        </w:rPr>
        <w:t xml:space="preserve"> </w:t>
      </w:r>
      <w:proofErr w:type="spellStart"/>
      <w:r w:rsidRPr="00FB317F">
        <w:rPr>
          <w:szCs w:val="24"/>
        </w:rPr>
        <w:t>synplynu</w:t>
      </w:r>
      <w:proofErr w:type="spellEnd"/>
      <w:r w:rsidR="002D7795" w:rsidRPr="00FB317F">
        <w:rPr>
          <w:szCs w:val="24"/>
        </w:rPr>
        <w:t xml:space="preserve"> </w:t>
      </w:r>
      <w:r w:rsidRPr="00FB317F">
        <w:rPr>
          <w:szCs w:val="24"/>
        </w:rPr>
        <w:t>jako suroviny pro výrobu uhlovodíkových paliv</w:t>
      </w:r>
      <w:r w:rsidR="002D7795" w:rsidRPr="00FB317F">
        <w:rPr>
          <w:szCs w:val="24"/>
        </w:rPr>
        <w:t>;</w:t>
      </w:r>
    </w:p>
    <w:p w:rsidR="008A2B1C" w:rsidRPr="00FB317F" w:rsidRDefault="00A90965" w:rsidP="00FD4C88">
      <w:pPr>
        <w:pStyle w:val="Standard"/>
        <w:numPr>
          <w:ilvl w:val="0"/>
          <w:numId w:val="43"/>
        </w:numPr>
        <w:spacing w:after="20"/>
        <w:ind w:left="357" w:hanging="357"/>
        <w:rPr>
          <w:szCs w:val="24"/>
        </w:rPr>
      </w:pPr>
      <w:r w:rsidRPr="00FB317F">
        <w:rPr>
          <w:szCs w:val="24"/>
        </w:rPr>
        <w:t xml:space="preserve">recyklace plastů pyrolýzou na </w:t>
      </w:r>
      <w:proofErr w:type="spellStart"/>
      <w:r w:rsidRPr="00FB317F">
        <w:rPr>
          <w:szCs w:val="24"/>
        </w:rPr>
        <w:t>synplyn</w:t>
      </w:r>
      <w:proofErr w:type="spellEnd"/>
      <w:r w:rsidRPr="00FB317F">
        <w:rPr>
          <w:szCs w:val="24"/>
        </w:rPr>
        <w:t xml:space="preserve"> a následná FT syntéza uhlovodíků</w:t>
      </w:r>
      <w:r w:rsidR="002D7795" w:rsidRPr="00FB317F">
        <w:rPr>
          <w:szCs w:val="24"/>
        </w:rPr>
        <w:t>;</w:t>
      </w:r>
    </w:p>
    <w:p w:rsidR="008A2B1C" w:rsidRPr="00FB317F" w:rsidRDefault="002D7795" w:rsidP="00FD4C88">
      <w:pPr>
        <w:pStyle w:val="Standard"/>
        <w:numPr>
          <w:ilvl w:val="0"/>
          <w:numId w:val="43"/>
        </w:numPr>
        <w:spacing w:after="20"/>
        <w:ind w:left="357" w:hanging="357"/>
        <w:rPr>
          <w:szCs w:val="24"/>
        </w:rPr>
      </w:pPr>
      <w:r w:rsidRPr="00FB317F">
        <w:rPr>
          <w:szCs w:val="24"/>
        </w:rPr>
        <w:t>anaerobní</w:t>
      </w:r>
      <w:r w:rsidR="00A90965" w:rsidRPr="00FB317F">
        <w:rPr>
          <w:szCs w:val="24"/>
        </w:rPr>
        <w:t xml:space="preserve"> kvasné procesy </w:t>
      </w:r>
      <w:proofErr w:type="spellStart"/>
      <w:r w:rsidR="00A90965" w:rsidRPr="00FB317F">
        <w:rPr>
          <w:szCs w:val="24"/>
        </w:rPr>
        <w:t>biodpadů</w:t>
      </w:r>
      <w:proofErr w:type="spellEnd"/>
      <w:r w:rsidR="00A90965" w:rsidRPr="00FB317F">
        <w:rPr>
          <w:szCs w:val="24"/>
        </w:rPr>
        <w:t xml:space="preserve"> na bioplyn s nutností jeho vyčištění na kvalitu biometanu pro dopravu</w:t>
      </w:r>
      <w:r w:rsidRPr="00FB317F">
        <w:rPr>
          <w:szCs w:val="24"/>
        </w:rPr>
        <w:t>;</w:t>
      </w:r>
    </w:p>
    <w:p w:rsidR="008A2B1C" w:rsidRPr="00FB317F" w:rsidRDefault="00A90965" w:rsidP="00FD4C88">
      <w:pPr>
        <w:pStyle w:val="Standard"/>
        <w:numPr>
          <w:ilvl w:val="0"/>
          <w:numId w:val="43"/>
        </w:numPr>
        <w:spacing w:after="20"/>
        <w:ind w:left="357" w:hanging="357"/>
        <w:rPr>
          <w:szCs w:val="24"/>
        </w:rPr>
      </w:pPr>
      <w:r w:rsidRPr="00FB317F">
        <w:rPr>
          <w:szCs w:val="24"/>
        </w:rPr>
        <w:t>výroba vodíku elektrolýzou a biologickými procesy</w:t>
      </w:r>
      <w:r w:rsidR="002D7795" w:rsidRPr="00FB317F">
        <w:rPr>
          <w:szCs w:val="24"/>
        </w:rPr>
        <w:t>;</w:t>
      </w:r>
    </w:p>
    <w:p w:rsidR="008A2B1C" w:rsidRPr="00FB317F" w:rsidRDefault="00A90965" w:rsidP="00FD4C88">
      <w:pPr>
        <w:pStyle w:val="Standard"/>
        <w:numPr>
          <w:ilvl w:val="0"/>
          <w:numId w:val="43"/>
        </w:numPr>
        <w:spacing w:after="20"/>
        <w:ind w:left="357" w:hanging="357"/>
        <w:rPr>
          <w:szCs w:val="24"/>
        </w:rPr>
      </w:pPr>
      <w:r w:rsidRPr="00FB317F">
        <w:rPr>
          <w:szCs w:val="24"/>
        </w:rPr>
        <w:t xml:space="preserve">v budoucnu pak cirkulární procesy redukce CO2 na </w:t>
      </w:r>
      <w:proofErr w:type="spellStart"/>
      <w:r w:rsidRPr="00FB317F">
        <w:rPr>
          <w:szCs w:val="24"/>
        </w:rPr>
        <w:t>synplyn</w:t>
      </w:r>
      <w:proofErr w:type="spellEnd"/>
      <w:r w:rsidRPr="00FB317F">
        <w:rPr>
          <w:szCs w:val="24"/>
        </w:rPr>
        <w:t xml:space="preserve"> a následná výroba uhlovodíkových paliv FT </w:t>
      </w:r>
      <w:r w:rsidR="002D7795" w:rsidRPr="00FB317F">
        <w:rPr>
          <w:szCs w:val="24"/>
        </w:rPr>
        <w:t>syntézou;</w:t>
      </w:r>
    </w:p>
    <w:p w:rsidR="008A2B1C" w:rsidRPr="00FB317F" w:rsidRDefault="00A90965" w:rsidP="00FD4C88">
      <w:pPr>
        <w:pStyle w:val="Standard"/>
        <w:numPr>
          <w:ilvl w:val="0"/>
          <w:numId w:val="43"/>
        </w:numPr>
        <w:spacing w:after="20"/>
        <w:ind w:left="357" w:hanging="357"/>
        <w:rPr>
          <w:szCs w:val="24"/>
        </w:rPr>
      </w:pPr>
      <w:r w:rsidRPr="00FB317F">
        <w:rPr>
          <w:szCs w:val="24"/>
        </w:rPr>
        <w:t xml:space="preserve">v delším horizontu pak „umělá </w:t>
      </w:r>
      <w:r w:rsidR="002D7795" w:rsidRPr="00FB317F">
        <w:rPr>
          <w:szCs w:val="24"/>
        </w:rPr>
        <w:t>fotosyntéza</w:t>
      </w:r>
      <w:r w:rsidRPr="00FB317F">
        <w:rPr>
          <w:szCs w:val="24"/>
        </w:rPr>
        <w:t>“ na uhlíkovou hmotu.</w:t>
      </w:r>
    </w:p>
    <w:p w:rsidR="008A2B1C" w:rsidRPr="00FB317F" w:rsidRDefault="00A90965">
      <w:pPr>
        <w:pStyle w:val="Standard"/>
        <w:rPr>
          <w:szCs w:val="24"/>
        </w:rPr>
      </w:pPr>
      <w:r w:rsidRPr="00FB317F">
        <w:rPr>
          <w:szCs w:val="24"/>
        </w:rPr>
        <w:t>Z pohledu věcných důvodu a časového horizontu užití je nejdále skupina technologií ad a) a</w:t>
      </w:r>
      <w:r w:rsidR="002D7795" w:rsidRPr="00FB317F">
        <w:rPr>
          <w:szCs w:val="24"/>
        </w:rPr>
        <w:t> </w:t>
      </w:r>
      <w:r w:rsidRPr="00FB317F">
        <w:rPr>
          <w:szCs w:val="24"/>
        </w:rPr>
        <w:t>ad</w:t>
      </w:r>
      <w:r w:rsidR="002D7795" w:rsidRPr="00FB317F">
        <w:rPr>
          <w:szCs w:val="24"/>
        </w:rPr>
        <w:t> </w:t>
      </w:r>
      <w:r w:rsidRPr="00FB317F">
        <w:rPr>
          <w:szCs w:val="24"/>
        </w:rPr>
        <w:t>c</w:t>
      </w:r>
      <w:r w:rsidR="002D7795" w:rsidRPr="00FB317F">
        <w:rPr>
          <w:szCs w:val="24"/>
        </w:rPr>
        <w:t>)</w:t>
      </w:r>
      <w:r w:rsidRPr="00FB317F">
        <w:rPr>
          <w:szCs w:val="24"/>
        </w:rPr>
        <w:t>.</w:t>
      </w:r>
      <w:r w:rsidR="002D7795" w:rsidRPr="00FB317F">
        <w:rPr>
          <w:szCs w:val="24"/>
        </w:rPr>
        <w:t xml:space="preserve"> </w:t>
      </w:r>
      <w:r w:rsidRPr="00FB317F">
        <w:rPr>
          <w:szCs w:val="24"/>
        </w:rPr>
        <w:t xml:space="preserve">Z pohledu dlouhodobé surovinové zajištěnosti a bezpečnosti pak </w:t>
      </w:r>
      <w:r w:rsidR="002D7795" w:rsidRPr="00FB317F">
        <w:rPr>
          <w:szCs w:val="24"/>
        </w:rPr>
        <w:t>technologie</w:t>
      </w:r>
      <w:r w:rsidRPr="00FB317F">
        <w:rPr>
          <w:szCs w:val="24"/>
        </w:rPr>
        <w:t xml:space="preserve"> výroby bioplynu a pyrolýzy plastů</w:t>
      </w:r>
      <w:r w:rsidR="002D7795" w:rsidRPr="00FB317F">
        <w:rPr>
          <w:szCs w:val="24"/>
        </w:rPr>
        <w:t>.</w:t>
      </w:r>
    </w:p>
    <w:p w:rsidR="008A2B1C" w:rsidRPr="00FB317F" w:rsidRDefault="00A90965" w:rsidP="00FD4C88">
      <w:pPr>
        <w:pStyle w:val="Nadpis2"/>
        <w:numPr>
          <w:ilvl w:val="0"/>
          <w:numId w:val="44"/>
        </w:numPr>
        <w:tabs>
          <w:tab w:val="clear" w:pos="94"/>
          <w:tab w:val="left" w:pos="426"/>
        </w:tabs>
        <w:ind w:hanging="720"/>
        <w:rPr>
          <w:sz w:val="26"/>
        </w:rPr>
      </w:pPr>
      <w:bookmarkStart w:id="32" w:name="_Toc38019655"/>
      <w:bookmarkStart w:id="33" w:name="_Toc38019718"/>
      <w:bookmarkStart w:id="34" w:name="_Toc38023730"/>
      <w:r w:rsidRPr="00FB317F">
        <w:rPr>
          <w:sz w:val="26"/>
        </w:rPr>
        <w:t>Normalizace budoucích motorových paliv pro spalovací motory z pohledu CEN</w:t>
      </w:r>
      <w:bookmarkEnd w:id="32"/>
      <w:bookmarkEnd w:id="33"/>
      <w:bookmarkEnd w:id="34"/>
    </w:p>
    <w:p w:rsidR="008A2B1C" w:rsidRPr="00FB317F" w:rsidRDefault="00A90965" w:rsidP="00BA5B39">
      <w:pPr>
        <w:pStyle w:val="Standard"/>
        <w:spacing w:after="20"/>
        <w:rPr>
          <w:szCs w:val="24"/>
        </w:rPr>
      </w:pPr>
      <w:r w:rsidRPr="00FB317F">
        <w:rPr>
          <w:szCs w:val="24"/>
        </w:rPr>
        <w:t xml:space="preserve">V roce 2011 rozhodl </w:t>
      </w:r>
      <w:r w:rsidR="00300626" w:rsidRPr="00FB317F">
        <w:rPr>
          <w:szCs w:val="24"/>
        </w:rPr>
        <w:t xml:space="preserve">CEN </w:t>
      </w:r>
      <w:r w:rsidRPr="00FB317F">
        <w:rPr>
          <w:szCs w:val="24"/>
        </w:rPr>
        <w:t>o založení koordinační skupiny pro nová paliva CEN TC19WG 38. Úkole</w:t>
      </w:r>
      <w:r w:rsidR="00300626" w:rsidRPr="00FB317F">
        <w:rPr>
          <w:szCs w:val="24"/>
        </w:rPr>
        <w:t>m</w:t>
      </w:r>
      <w:r w:rsidRPr="00FB317F">
        <w:rPr>
          <w:szCs w:val="24"/>
        </w:rPr>
        <w:t xml:space="preserve"> skupiny je zpracovat proveditelnost a časový návrh pro </w:t>
      </w:r>
      <w:r w:rsidR="00300626" w:rsidRPr="00FB317F">
        <w:rPr>
          <w:szCs w:val="24"/>
        </w:rPr>
        <w:t>alternativní</w:t>
      </w:r>
      <w:r w:rsidRPr="00FB317F">
        <w:rPr>
          <w:szCs w:val="24"/>
        </w:rPr>
        <w:t xml:space="preserve"> kapalná a plynná paliva pro dopravu a stacionární aplikaci s cílem specifikovat kvalitu těchto paliv nebo specifických komponent.  Alternativními palivy se rozumí dle CEN jiná paliva</w:t>
      </w:r>
      <w:r w:rsidR="00300626" w:rsidRPr="00FB317F">
        <w:rPr>
          <w:szCs w:val="24"/>
        </w:rPr>
        <w:t>,</w:t>
      </w:r>
      <w:r w:rsidRPr="00FB317F">
        <w:rPr>
          <w:szCs w:val="24"/>
        </w:rPr>
        <w:t xml:space="preserve"> než je benzin dle EN 228 a motorová paliva dle EN 590</w:t>
      </w:r>
      <w:r w:rsidR="00300626" w:rsidRPr="00FB317F">
        <w:rPr>
          <w:szCs w:val="24"/>
        </w:rPr>
        <w:t>,</w:t>
      </w:r>
      <w:r w:rsidRPr="00FB317F">
        <w:rPr>
          <w:szCs w:val="24"/>
        </w:rPr>
        <w:t xml:space="preserve"> a dále neřeší letecká a lodní paliva (ta jsou řešena v</w:t>
      </w:r>
      <w:r w:rsidR="00300626" w:rsidRPr="00FB317F">
        <w:rPr>
          <w:szCs w:val="24"/>
        </w:rPr>
        <w:t> </w:t>
      </w:r>
      <w:r w:rsidRPr="00FB317F">
        <w:rPr>
          <w:szCs w:val="24"/>
        </w:rPr>
        <w:t xml:space="preserve">jiných skupinách CEN). Za vyřešené nebo před dokončením jsou považována tato paliva: LPG dle EN 589, FAME jako mísící složka dle EN 16734, paliva B10, B20 a B30, topný olej dle EN 14214, </w:t>
      </w:r>
      <w:proofErr w:type="spellStart"/>
      <w:r w:rsidRPr="00FB317F">
        <w:rPr>
          <w:szCs w:val="24"/>
        </w:rPr>
        <w:t>parafinická</w:t>
      </w:r>
      <w:proofErr w:type="spellEnd"/>
      <w:r w:rsidRPr="00FB317F">
        <w:rPr>
          <w:szCs w:val="24"/>
        </w:rPr>
        <w:t xml:space="preserve"> motorová nafta (XTL a HVO) dle EN 15940, </w:t>
      </w:r>
      <w:r w:rsidR="00C0703E">
        <w:rPr>
          <w:szCs w:val="24"/>
        </w:rPr>
        <w:t>eta</w:t>
      </w:r>
      <w:r w:rsidR="00300626" w:rsidRPr="00FB317F">
        <w:rPr>
          <w:szCs w:val="24"/>
        </w:rPr>
        <w:t>nol</w:t>
      </w:r>
      <w:r w:rsidRPr="00FB317F">
        <w:rPr>
          <w:szCs w:val="24"/>
        </w:rPr>
        <w:t xml:space="preserve"> pro mísení dle EN 15346, </w:t>
      </w:r>
      <w:r w:rsidR="00C0703E">
        <w:rPr>
          <w:szCs w:val="24"/>
        </w:rPr>
        <w:t>eta</w:t>
      </w:r>
      <w:r w:rsidRPr="00FB317F">
        <w:rPr>
          <w:szCs w:val="24"/>
        </w:rPr>
        <w:t xml:space="preserve">nol E85 dle EN 15293, </w:t>
      </w:r>
      <w:proofErr w:type="spellStart"/>
      <w:r w:rsidR="00300626" w:rsidRPr="00FB317F">
        <w:rPr>
          <w:szCs w:val="24"/>
        </w:rPr>
        <w:t>pyrolýzní</w:t>
      </w:r>
      <w:proofErr w:type="spellEnd"/>
      <w:r w:rsidRPr="00FB317F">
        <w:rPr>
          <w:szCs w:val="24"/>
        </w:rPr>
        <w:t xml:space="preserve"> olej bio dle EN 16900 a CNG dle EN 16723.</w:t>
      </w:r>
    </w:p>
    <w:p w:rsidR="008A2B1C" w:rsidRPr="00FB317F" w:rsidRDefault="00A90965" w:rsidP="009C58DB">
      <w:pPr>
        <w:pStyle w:val="Standard"/>
        <w:rPr>
          <w:szCs w:val="24"/>
        </w:rPr>
      </w:pPr>
      <w:r w:rsidRPr="00FB317F">
        <w:rPr>
          <w:szCs w:val="24"/>
        </w:rPr>
        <w:t>Pracovní skupina proto řeší tato nová alternativní paliva:</w:t>
      </w:r>
    </w:p>
    <w:p w:rsidR="008A2B1C" w:rsidRPr="00FB317F" w:rsidRDefault="00A90965" w:rsidP="00FD4C88">
      <w:pPr>
        <w:pStyle w:val="Standard"/>
        <w:numPr>
          <w:ilvl w:val="0"/>
          <w:numId w:val="45"/>
        </w:numPr>
        <w:ind w:left="357" w:hanging="357"/>
        <w:rPr>
          <w:szCs w:val="24"/>
        </w:rPr>
      </w:pPr>
      <w:r w:rsidRPr="00FB317F">
        <w:rPr>
          <w:szCs w:val="24"/>
        </w:rPr>
        <w:t>paliva s vysokým obsahem kyslíkatých látek pro zážehové motory</w:t>
      </w:r>
    </w:p>
    <w:p w:rsidR="008A2B1C" w:rsidRPr="00FB317F" w:rsidRDefault="00A90965" w:rsidP="00FD4C88">
      <w:pPr>
        <w:pStyle w:val="Standard"/>
        <w:numPr>
          <w:ilvl w:val="0"/>
          <w:numId w:val="45"/>
        </w:numPr>
        <w:ind w:left="357" w:hanging="357"/>
        <w:rPr>
          <w:szCs w:val="24"/>
        </w:rPr>
      </w:pPr>
      <w:r w:rsidRPr="00FB317F">
        <w:rPr>
          <w:szCs w:val="24"/>
        </w:rPr>
        <w:t>FAEE</w:t>
      </w:r>
    </w:p>
    <w:p w:rsidR="008A2B1C" w:rsidRPr="00FB317F" w:rsidRDefault="00A90965" w:rsidP="00FD4C88">
      <w:pPr>
        <w:pStyle w:val="Standard"/>
        <w:numPr>
          <w:ilvl w:val="0"/>
          <w:numId w:val="45"/>
        </w:numPr>
        <w:ind w:left="357" w:hanging="357"/>
        <w:rPr>
          <w:szCs w:val="24"/>
        </w:rPr>
      </w:pPr>
      <w:r w:rsidRPr="00FB317F">
        <w:rPr>
          <w:szCs w:val="24"/>
        </w:rPr>
        <w:t>m</w:t>
      </w:r>
      <w:r w:rsidR="00C0703E">
        <w:rPr>
          <w:szCs w:val="24"/>
        </w:rPr>
        <w:t>eta</w:t>
      </w:r>
      <w:r w:rsidRPr="00FB317F">
        <w:rPr>
          <w:szCs w:val="24"/>
        </w:rPr>
        <w:t>nol</w:t>
      </w:r>
    </w:p>
    <w:p w:rsidR="008A2B1C" w:rsidRPr="00FB317F" w:rsidRDefault="00A90965" w:rsidP="00FD4C88">
      <w:pPr>
        <w:pStyle w:val="Standard"/>
        <w:numPr>
          <w:ilvl w:val="0"/>
          <w:numId w:val="45"/>
        </w:numPr>
        <w:ind w:left="357" w:hanging="357"/>
        <w:rPr>
          <w:szCs w:val="24"/>
        </w:rPr>
      </w:pPr>
      <w:r w:rsidRPr="00FB317F">
        <w:rPr>
          <w:szCs w:val="24"/>
        </w:rPr>
        <w:t>benzin pro malé motory</w:t>
      </w:r>
    </w:p>
    <w:p w:rsidR="008A2B1C" w:rsidRPr="00FB317F" w:rsidRDefault="00C0703E" w:rsidP="00FD4C88">
      <w:pPr>
        <w:pStyle w:val="Standard"/>
        <w:numPr>
          <w:ilvl w:val="0"/>
          <w:numId w:val="45"/>
        </w:numPr>
        <w:ind w:left="357" w:hanging="357"/>
        <w:rPr>
          <w:szCs w:val="24"/>
        </w:rPr>
      </w:pPr>
      <w:r>
        <w:rPr>
          <w:szCs w:val="24"/>
        </w:rPr>
        <w:t>eta</w:t>
      </w:r>
      <w:r w:rsidR="00A90965" w:rsidRPr="00FB317F">
        <w:rPr>
          <w:szCs w:val="24"/>
        </w:rPr>
        <w:t>nol s obsahem vody</w:t>
      </w:r>
    </w:p>
    <w:p w:rsidR="008A2B1C" w:rsidRPr="00FB317F" w:rsidRDefault="00A90965" w:rsidP="00FD4C88">
      <w:pPr>
        <w:pStyle w:val="Standard"/>
        <w:numPr>
          <w:ilvl w:val="0"/>
          <w:numId w:val="45"/>
        </w:numPr>
        <w:ind w:left="357" w:hanging="357"/>
        <w:rPr>
          <w:szCs w:val="24"/>
        </w:rPr>
      </w:pPr>
      <w:r w:rsidRPr="00FB317F">
        <w:rPr>
          <w:szCs w:val="24"/>
        </w:rPr>
        <w:t xml:space="preserve">přídavek </w:t>
      </w:r>
      <w:r w:rsidR="00C0703E">
        <w:rPr>
          <w:szCs w:val="24"/>
        </w:rPr>
        <w:t>eta</w:t>
      </w:r>
      <w:r w:rsidRPr="00FB317F">
        <w:rPr>
          <w:szCs w:val="24"/>
        </w:rPr>
        <w:t>nolu do nafty ED96</w:t>
      </w:r>
    </w:p>
    <w:p w:rsidR="008A2B1C" w:rsidRPr="00FB317F" w:rsidRDefault="00CA67E5" w:rsidP="00FD4C88">
      <w:pPr>
        <w:pStyle w:val="Standard"/>
        <w:numPr>
          <w:ilvl w:val="0"/>
          <w:numId w:val="45"/>
        </w:numPr>
        <w:ind w:left="357" w:hanging="357"/>
        <w:rPr>
          <w:szCs w:val="24"/>
        </w:rPr>
      </w:pPr>
      <w:r>
        <w:rPr>
          <w:szCs w:val="24"/>
        </w:rPr>
        <w:t>éter</w:t>
      </w:r>
      <w:r w:rsidR="00A90965" w:rsidRPr="00FB317F">
        <w:rPr>
          <w:szCs w:val="24"/>
        </w:rPr>
        <w:t>y a další kyslíkaté látky</w:t>
      </w:r>
    </w:p>
    <w:p w:rsidR="008A2B1C" w:rsidRPr="00FB317F" w:rsidRDefault="00A90965" w:rsidP="00FD4C88">
      <w:pPr>
        <w:pStyle w:val="Standard"/>
        <w:numPr>
          <w:ilvl w:val="0"/>
          <w:numId w:val="45"/>
        </w:numPr>
        <w:ind w:left="357" w:hanging="357"/>
        <w:rPr>
          <w:szCs w:val="24"/>
        </w:rPr>
      </w:pPr>
      <w:r w:rsidRPr="00FB317F">
        <w:rPr>
          <w:szCs w:val="24"/>
        </w:rPr>
        <w:t>emulzní nafta</w:t>
      </w:r>
    </w:p>
    <w:p w:rsidR="008A2B1C" w:rsidRPr="00FB317F" w:rsidRDefault="00A90965" w:rsidP="00FD4C88">
      <w:pPr>
        <w:pStyle w:val="Standard"/>
        <w:numPr>
          <w:ilvl w:val="0"/>
          <w:numId w:val="45"/>
        </w:numPr>
        <w:ind w:left="357" w:hanging="357"/>
        <w:rPr>
          <w:szCs w:val="24"/>
        </w:rPr>
      </w:pPr>
      <w:r w:rsidRPr="00FB317F">
        <w:rPr>
          <w:szCs w:val="24"/>
        </w:rPr>
        <w:t>talový olej (</w:t>
      </w:r>
      <w:proofErr w:type="spellStart"/>
      <w:r w:rsidRPr="00FB317F">
        <w:rPr>
          <w:szCs w:val="24"/>
        </w:rPr>
        <w:t>nehydrogenovaný</w:t>
      </w:r>
      <w:proofErr w:type="spellEnd"/>
      <w:r w:rsidRPr="00FB317F">
        <w:rPr>
          <w:szCs w:val="24"/>
        </w:rPr>
        <w:t>)</w:t>
      </w:r>
    </w:p>
    <w:p w:rsidR="00FD130B" w:rsidRDefault="00FD130B" w:rsidP="00FD130B">
      <w:pPr>
        <w:pStyle w:val="Standard"/>
        <w:rPr>
          <w:szCs w:val="24"/>
        </w:rPr>
      </w:pPr>
    </w:p>
    <w:p w:rsidR="00FD130B" w:rsidRDefault="00FD130B" w:rsidP="00FD130B">
      <w:pPr>
        <w:pStyle w:val="Standard"/>
        <w:rPr>
          <w:szCs w:val="24"/>
        </w:rPr>
      </w:pPr>
    </w:p>
    <w:p w:rsidR="000F7A44" w:rsidRPr="00FB317F" w:rsidRDefault="00A90965" w:rsidP="00FD4C88">
      <w:pPr>
        <w:pStyle w:val="Standard"/>
        <w:numPr>
          <w:ilvl w:val="0"/>
          <w:numId w:val="45"/>
        </w:numPr>
        <w:ind w:left="357" w:hanging="357"/>
        <w:rPr>
          <w:szCs w:val="24"/>
        </w:rPr>
      </w:pPr>
      <w:r w:rsidRPr="00FB317F">
        <w:rPr>
          <w:szCs w:val="24"/>
        </w:rPr>
        <w:lastRenderedPageBreak/>
        <w:t>DME</w:t>
      </w:r>
    </w:p>
    <w:p w:rsidR="008A2B1C" w:rsidRPr="00FB317F" w:rsidRDefault="00A90965" w:rsidP="00FD4C88">
      <w:pPr>
        <w:pStyle w:val="Standard"/>
        <w:numPr>
          <w:ilvl w:val="0"/>
          <w:numId w:val="45"/>
        </w:numPr>
        <w:ind w:left="357" w:hanging="357"/>
        <w:rPr>
          <w:szCs w:val="24"/>
        </w:rPr>
      </w:pPr>
      <w:proofErr w:type="spellStart"/>
      <w:r w:rsidRPr="00FB317F">
        <w:rPr>
          <w:szCs w:val="24"/>
        </w:rPr>
        <w:t>bioLNG</w:t>
      </w:r>
      <w:proofErr w:type="spellEnd"/>
    </w:p>
    <w:p w:rsidR="008A2B1C" w:rsidRPr="00FB317F" w:rsidRDefault="00A90965" w:rsidP="00FD4C88">
      <w:pPr>
        <w:pStyle w:val="Standard"/>
        <w:numPr>
          <w:ilvl w:val="0"/>
          <w:numId w:val="45"/>
        </w:numPr>
        <w:ind w:left="357" w:hanging="357"/>
        <w:rPr>
          <w:szCs w:val="24"/>
        </w:rPr>
      </w:pPr>
      <w:r w:rsidRPr="00FB317F">
        <w:rPr>
          <w:szCs w:val="24"/>
        </w:rPr>
        <w:t>bioplyn</w:t>
      </w:r>
    </w:p>
    <w:p w:rsidR="008A2B1C" w:rsidRPr="00FB317F" w:rsidRDefault="00A90965" w:rsidP="00FD4C88">
      <w:pPr>
        <w:pStyle w:val="Standard"/>
        <w:numPr>
          <w:ilvl w:val="0"/>
          <w:numId w:val="45"/>
        </w:numPr>
        <w:spacing w:after="20"/>
        <w:ind w:left="357" w:hanging="357"/>
        <w:rPr>
          <w:szCs w:val="24"/>
        </w:rPr>
      </w:pPr>
      <w:r w:rsidRPr="00FB317F">
        <w:rPr>
          <w:szCs w:val="24"/>
        </w:rPr>
        <w:t>vodík.</w:t>
      </w:r>
    </w:p>
    <w:p w:rsidR="008A2B1C" w:rsidRPr="00FB317F" w:rsidRDefault="00A90965">
      <w:pPr>
        <w:pStyle w:val="Standard"/>
        <w:rPr>
          <w:szCs w:val="24"/>
        </w:rPr>
      </w:pPr>
      <w:r w:rsidRPr="00FB317F">
        <w:rPr>
          <w:szCs w:val="24"/>
        </w:rPr>
        <w:t>Citovaný program standardizace alternativních paliv ve své podstatě vyjadřuje stanovisko CEN k plánovanému vývoji alternativ do rok</w:t>
      </w:r>
      <w:r w:rsidR="009D383B" w:rsidRPr="00FB317F">
        <w:rPr>
          <w:szCs w:val="24"/>
        </w:rPr>
        <w:t>u</w:t>
      </w:r>
      <w:r w:rsidRPr="00FB317F">
        <w:rPr>
          <w:szCs w:val="24"/>
        </w:rPr>
        <w:t xml:space="preserve"> 2030.</w:t>
      </w:r>
    </w:p>
    <w:p w:rsidR="008A2B1C" w:rsidRPr="00FB317F" w:rsidRDefault="00A90965" w:rsidP="00FD4C88">
      <w:pPr>
        <w:pStyle w:val="Nadpis2"/>
        <w:numPr>
          <w:ilvl w:val="0"/>
          <w:numId w:val="44"/>
        </w:numPr>
        <w:tabs>
          <w:tab w:val="clear" w:pos="94"/>
          <w:tab w:val="left" w:pos="426"/>
        </w:tabs>
        <w:ind w:hanging="720"/>
        <w:rPr>
          <w:sz w:val="26"/>
        </w:rPr>
      </w:pPr>
      <w:bookmarkStart w:id="35" w:name="_Toc38019656"/>
      <w:bookmarkStart w:id="36" w:name="_Toc38019719"/>
      <w:bookmarkStart w:id="37" w:name="_Toc38023731"/>
      <w:r w:rsidRPr="00FB317F">
        <w:rPr>
          <w:sz w:val="26"/>
        </w:rPr>
        <w:t>Přehled technologií s vysokým potenciálem splnění cílů OZE a GHG do roku 2030</w:t>
      </w:r>
      <w:bookmarkEnd w:id="35"/>
      <w:bookmarkEnd w:id="36"/>
      <w:bookmarkEnd w:id="37"/>
    </w:p>
    <w:p w:rsidR="008A2B1C" w:rsidRPr="00FB317F" w:rsidRDefault="00A90965" w:rsidP="00FD4C88">
      <w:pPr>
        <w:pStyle w:val="Standard"/>
        <w:numPr>
          <w:ilvl w:val="0"/>
          <w:numId w:val="46"/>
        </w:numPr>
        <w:spacing w:after="20"/>
        <w:ind w:left="357" w:hanging="357"/>
        <w:rPr>
          <w:szCs w:val="24"/>
          <w:u w:val="single"/>
        </w:rPr>
      </w:pPr>
      <w:r w:rsidRPr="00FB317F">
        <w:rPr>
          <w:szCs w:val="24"/>
          <w:u w:val="single"/>
        </w:rPr>
        <w:t>Biom</w:t>
      </w:r>
      <w:r w:rsidR="00C0703E">
        <w:rPr>
          <w:szCs w:val="24"/>
          <w:u w:val="single"/>
        </w:rPr>
        <w:t>eta</w:t>
      </w:r>
      <w:r w:rsidRPr="00FB317F">
        <w:rPr>
          <w:szCs w:val="24"/>
          <w:u w:val="single"/>
        </w:rPr>
        <w:t>n pro dopravu</w:t>
      </w:r>
    </w:p>
    <w:p w:rsidR="008A2B1C" w:rsidRPr="00FB317F" w:rsidRDefault="00A90965" w:rsidP="00BA5B39">
      <w:pPr>
        <w:pStyle w:val="Standard"/>
        <w:spacing w:after="20"/>
        <w:ind w:left="357"/>
        <w:rPr>
          <w:szCs w:val="24"/>
        </w:rPr>
      </w:pPr>
      <w:r w:rsidRPr="00FB317F">
        <w:rPr>
          <w:szCs w:val="24"/>
        </w:rPr>
        <w:t>Biom</w:t>
      </w:r>
      <w:r w:rsidR="00C0703E">
        <w:rPr>
          <w:szCs w:val="24"/>
        </w:rPr>
        <w:t>eta</w:t>
      </w:r>
      <w:r w:rsidRPr="00FB317F">
        <w:rPr>
          <w:szCs w:val="24"/>
        </w:rPr>
        <w:t>n je účinnou, flexibilní a ekologickou alternativou k bioplynu. Jedná se o směs cca 85 % m</w:t>
      </w:r>
      <w:r w:rsidR="00C0703E">
        <w:rPr>
          <w:szCs w:val="24"/>
        </w:rPr>
        <w:t>eta</w:t>
      </w:r>
      <w:r w:rsidRPr="00FB317F">
        <w:rPr>
          <w:szCs w:val="24"/>
        </w:rPr>
        <w:t xml:space="preserve">nu, což je základní </w:t>
      </w:r>
      <w:proofErr w:type="spellStart"/>
      <w:r w:rsidRPr="00FB317F">
        <w:rPr>
          <w:szCs w:val="24"/>
        </w:rPr>
        <w:t>parafinický</w:t>
      </w:r>
      <w:proofErr w:type="spellEnd"/>
      <w:r w:rsidRPr="00FB317F">
        <w:rPr>
          <w:szCs w:val="24"/>
        </w:rPr>
        <w:t xml:space="preserve"> uhlovodík, chemicky analog m</w:t>
      </w:r>
      <w:r w:rsidR="00C0703E">
        <w:rPr>
          <w:szCs w:val="24"/>
        </w:rPr>
        <w:t>eta</w:t>
      </w:r>
      <w:r w:rsidRPr="00FB317F">
        <w:rPr>
          <w:szCs w:val="24"/>
        </w:rPr>
        <w:t>nu (CH4) a</w:t>
      </w:r>
      <w:r w:rsidR="00B13A3F">
        <w:rPr>
          <w:szCs w:val="24"/>
        </w:rPr>
        <w:t> </w:t>
      </w:r>
      <w:r w:rsidRPr="00FB317F">
        <w:rPr>
          <w:szCs w:val="24"/>
        </w:rPr>
        <w:t>zbytek tvoří plynné nečistoty</w:t>
      </w:r>
      <w:r w:rsidR="00D424F5" w:rsidRPr="00FB317F">
        <w:rPr>
          <w:szCs w:val="24"/>
        </w:rPr>
        <w:t>,</w:t>
      </w:r>
      <w:r w:rsidRPr="00FB317F">
        <w:rPr>
          <w:szCs w:val="24"/>
        </w:rPr>
        <w:t xml:space="preserve"> převážně oxid uhličitý, sirovodík a vodní páry. Surovinou pro výrobu BNG je bioplyn, který se vyrábí z biomasy anaerobním procesem kvašení. S</w:t>
      </w:r>
      <w:r w:rsidR="00D424F5" w:rsidRPr="00FB317F">
        <w:rPr>
          <w:szCs w:val="24"/>
        </w:rPr>
        <w:t> </w:t>
      </w:r>
      <w:r w:rsidRPr="00FB317F">
        <w:rPr>
          <w:szCs w:val="24"/>
        </w:rPr>
        <w:t>ohledem na jeho původ z biomasy (rostlinné zbytky, odpady ze živočišné výroby, odpadní kaly z BČOV, skládkový plyn a ze zbytků potravinářské a krmivářské výroby) je biom</w:t>
      </w:r>
      <w:r w:rsidR="00C0703E">
        <w:rPr>
          <w:szCs w:val="24"/>
        </w:rPr>
        <w:t>eta</w:t>
      </w:r>
      <w:r w:rsidRPr="00FB317F">
        <w:rPr>
          <w:szCs w:val="24"/>
        </w:rPr>
        <w:t>n uznaným vyspělým biopalivem. V kvalitě dle ČSN 65 6514 se může používat pro pohon vozidel se spalovacím motorem.</w:t>
      </w:r>
    </w:p>
    <w:p w:rsidR="008A2B1C" w:rsidRPr="00FB317F" w:rsidRDefault="00A90965" w:rsidP="00BA5B39">
      <w:pPr>
        <w:pStyle w:val="Standard"/>
        <w:spacing w:after="20"/>
        <w:ind w:left="357"/>
        <w:rPr>
          <w:szCs w:val="24"/>
        </w:rPr>
      </w:pPr>
      <w:r w:rsidRPr="00FB317F">
        <w:rPr>
          <w:szCs w:val="24"/>
        </w:rPr>
        <w:t>Bioplyn (tzv</w:t>
      </w:r>
      <w:r w:rsidR="00D424F5" w:rsidRPr="00FB317F">
        <w:rPr>
          <w:szCs w:val="24"/>
        </w:rPr>
        <w:t>.</w:t>
      </w:r>
      <w:r w:rsidRPr="00FB317F">
        <w:rPr>
          <w:szCs w:val="24"/>
        </w:rPr>
        <w:t xml:space="preserve"> surový biometan) je velmi silně korozivní</w:t>
      </w:r>
      <w:r w:rsidR="00EE53F9" w:rsidRPr="00FB317F">
        <w:rPr>
          <w:szCs w:val="24"/>
        </w:rPr>
        <w:t>,</w:t>
      </w:r>
      <w:r w:rsidRPr="00FB317F">
        <w:rPr>
          <w:szCs w:val="24"/>
        </w:rPr>
        <w:t xml:space="preserve"> a proto se před použitím v dopravě musí vyčistit na kvalitu biom</w:t>
      </w:r>
      <w:r w:rsidR="00C0703E">
        <w:rPr>
          <w:szCs w:val="24"/>
        </w:rPr>
        <w:t>eta</w:t>
      </w:r>
      <w:r w:rsidRPr="00FB317F">
        <w:rPr>
          <w:szCs w:val="24"/>
        </w:rPr>
        <w:t xml:space="preserve">nu. Prvním krokem je sušení bioplynu systémem chlazení a kondenzace vody a druhým krokem odstranění sirných a dusíkatých plynných sloučeni adsorpci na aktivním uhlí.  </w:t>
      </w:r>
    </w:p>
    <w:p w:rsidR="008A2B1C" w:rsidRPr="00FB317F" w:rsidRDefault="00A90965" w:rsidP="00BA5B39">
      <w:pPr>
        <w:pStyle w:val="Standard"/>
        <w:spacing w:after="20"/>
        <w:ind w:left="357"/>
        <w:rPr>
          <w:szCs w:val="24"/>
        </w:rPr>
      </w:pPr>
      <w:r w:rsidRPr="00FB317F">
        <w:rPr>
          <w:szCs w:val="24"/>
        </w:rPr>
        <w:t>Nevyčištěný biometan je definován jako bioplyn, což je směs m</w:t>
      </w:r>
      <w:r w:rsidR="00C0703E">
        <w:rPr>
          <w:szCs w:val="24"/>
        </w:rPr>
        <w:t>eta</w:t>
      </w:r>
      <w:r w:rsidRPr="00FB317F">
        <w:rPr>
          <w:szCs w:val="24"/>
        </w:rPr>
        <w:t>nu 40 až 75 %, 25 až 55 % CO2</w:t>
      </w:r>
      <w:r w:rsidR="00EE53F9" w:rsidRPr="00FB317F">
        <w:rPr>
          <w:szCs w:val="24"/>
        </w:rPr>
        <w:t>,</w:t>
      </w:r>
      <w:r w:rsidRPr="00FB317F">
        <w:rPr>
          <w:szCs w:val="24"/>
        </w:rPr>
        <w:t xml:space="preserve"> 0 až 10 % vodní páry a plynných nečistot 0 až 10 %</w:t>
      </w:r>
      <w:r w:rsidR="00EE53F9" w:rsidRPr="00FB317F">
        <w:rPr>
          <w:szCs w:val="24"/>
        </w:rPr>
        <w:t>,</w:t>
      </w:r>
      <w:r w:rsidRPr="00FB317F">
        <w:rPr>
          <w:szCs w:val="24"/>
        </w:rPr>
        <w:t xml:space="preserve"> převážně dusíku, sulfanu a čpavku. V ČR se bioplynu ročně vyrobí cca 1,2 mld. M3 na cca 450 provozních jednotkách.</w:t>
      </w:r>
      <w:r w:rsidR="00EE53F9" w:rsidRPr="00FB317F">
        <w:rPr>
          <w:szCs w:val="24"/>
        </w:rPr>
        <w:t xml:space="preserve"> </w:t>
      </w:r>
      <w:r w:rsidRPr="00FB317F">
        <w:rPr>
          <w:szCs w:val="24"/>
        </w:rPr>
        <w:t>V současné době veškerý bioplyn využívají malí a střední zemědělští výrobci k místní výrobě elektřiny a tepla, které se spotřebovávají na místě výroby.</w:t>
      </w:r>
    </w:p>
    <w:p w:rsidR="008A2B1C" w:rsidRPr="00FB317F" w:rsidRDefault="00A90965" w:rsidP="00BA5B39">
      <w:pPr>
        <w:pStyle w:val="Standard"/>
        <w:spacing w:after="20"/>
        <w:ind w:left="357"/>
        <w:rPr>
          <w:szCs w:val="24"/>
        </w:rPr>
      </w:pPr>
      <w:r w:rsidRPr="00FB317F">
        <w:rPr>
          <w:szCs w:val="24"/>
        </w:rPr>
        <w:t>Po vyčištění se biom</w:t>
      </w:r>
      <w:r w:rsidR="00C0703E">
        <w:rPr>
          <w:szCs w:val="24"/>
        </w:rPr>
        <w:t>eta</w:t>
      </w:r>
      <w:r w:rsidRPr="00FB317F">
        <w:rPr>
          <w:szCs w:val="24"/>
        </w:rPr>
        <w:t>n potrubní dopravou dopravuje spolu s CNG do plnicích stanic, které jsou obvykle součástí čerpacích stanic kapalných paliv. Dopravuje se v komprimované plynné formě.</w:t>
      </w:r>
      <w:r w:rsidR="00EE53F9" w:rsidRPr="00FB317F">
        <w:rPr>
          <w:szCs w:val="24"/>
        </w:rPr>
        <w:t xml:space="preserve"> </w:t>
      </w:r>
      <w:r w:rsidRPr="00FB317F">
        <w:rPr>
          <w:szCs w:val="24"/>
        </w:rPr>
        <w:t>V</w:t>
      </w:r>
      <w:r w:rsidR="00EE53F9" w:rsidRPr="00FB317F">
        <w:rPr>
          <w:szCs w:val="24"/>
        </w:rPr>
        <w:t xml:space="preserve"> </w:t>
      </w:r>
      <w:r w:rsidRPr="00FB317F">
        <w:rPr>
          <w:szCs w:val="24"/>
        </w:rPr>
        <w:t>provozním měřítku není v ČR biom</w:t>
      </w:r>
      <w:r w:rsidR="00C0703E">
        <w:rPr>
          <w:szCs w:val="24"/>
        </w:rPr>
        <w:t>eta</w:t>
      </w:r>
      <w:r w:rsidRPr="00FB317F">
        <w:rPr>
          <w:szCs w:val="24"/>
        </w:rPr>
        <w:t>n vyráběn</w:t>
      </w:r>
      <w:r w:rsidR="00EE53F9" w:rsidRPr="00FB317F">
        <w:rPr>
          <w:szCs w:val="24"/>
        </w:rPr>
        <w:t>,</w:t>
      </w:r>
      <w:r w:rsidRPr="00FB317F">
        <w:rPr>
          <w:szCs w:val="24"/>
        </w:rPr>
        <w:t xml:space="preserve"> ani po</w:t>
      </w:r>
      <w:r w:rsidR="00EE53F9" w:rsidRPr="00FB317F">
        <w:rPr>
          <w:szCs w:val="24"/>
        </w:rPr>
        <w:t>u</w:t>
      </w:r>
      <w:r w:rsidRPr="00FB317F">
        <w:rPr>
          <w:szCs w:val="24"/>
        </w:rPr>
        <w:t>žíván.</w:t>
      </w:r>
    </w:p>
    <w:p w:rsidR="008A2B1C" w:rsidRPr="00FB317F" w:rsidRDefault="00A90965" w:rsidP="00BA5B39">
      <w:pPr>
        <w:pStyle w:val="Standard"/>
        <w:spacing w:after="20"/>
        <w:ind w:left="357"/>
        <w:rPr>
          <w:szCs w:val="24"/>
        </w:rPr>
      </w:pPr>
      <w:r w:rsidRPr="00FB317F">
        <w:rPr>
          <w:szCs w:val="24"/>
        </w:rPr>
        <w:t>Výhodou je, že výrobny bioplynu jsou již vybudovány a úspěšně provozovány řadu let. Vzhledem k tomu, že zemědělská výroba vlastní produkci bioplynu</w:t>
      </w:r>
      <w:r w:rsidR="0057426F" w:rsidRPr="00FB317F">
        <w:rPr>
          <w:szCs w:val="24"/>
        </w:rPr>
        <w:t>,</w:t>
      </w:r>
      <w:r w:rsidRPr="00FB317F">
        <w:rPr>
          <w:szCs w:val="24"/>
        </w:rPr>
        <w:t xml:space="preserve"> má k dispozici levný zdroj energie (např. pro sušení plodin)</w:t>
      </w:r>
      <w:r w:rsidR="0057426F" w:rsidRPr="00FB317F">
        <w:rPr>
          <w:szCs w:val="24"/>
        </w:rPr>
        <w:t xml:space="preserve"> a</w:t>
      </w:r>
      <w:r w:rsidRPr="00FB317F">
        <w:rPr>
          <w:szCs w:val="24"/>
        </w:rPr>
        <w:t xml:space="preserve"> je velmi málo pravděpodobné, že se tohoto zdroje vzdá ve prospěch dopravy.</w:t>
      </w:r>
    </w:p>
    <w:p w:rsidR="008A2B1C" w:rsidRPr="00FB317F" w:rsidRDefault="00A90965" w:rsidP="00BA5B39">
      <w:pPr>
        <w:pStyle w:val="Standard"/>
        <w:spacing w:after="20"/>
        <w:ind w:left="357"/>
        <w:rPr>
          <w:szCs w:val="24"/>
        </w:rPr>
      </w:pPr>
      <w:r w:rsidRPr="00FB317F">
        <w:rPr>
          <w:szCs w:val="24"/>
        </w:rPr>
        <w:t xml:space="preserve">Stát bude muset legislativně zajistit </w:t>
      </w:r>
      <w:proofErr w:type="spellStart"/>
      <w:r w:rsidRPr="00FB317F">
        <w:rPr>
          <w:szCs w:val="24"/>
        </w:rPr>
        <w:t>rebilanci</w:t>
      </w:r>
      <w:proofErr w:type="spellEnd"/>
      <w:r w:rsidRPr="00FB317F">
        <w:rPr>
          <w:szCs w:val="24"/>
        </w:rPr>
        <w:t xml:space="preserve"> produktu a podpořit vybudování technologie čištění a vtlačování biom</w:t>
      </w:r>
      <w:r w:rsidR="00C0703E">
        <w:rPr>
          <w:szCs w:val="24"/>
        </w:rPr>
        <w:t>eta</w:t>
      </w:r>
      <w:r w:rsidRPr="00FB317F">
        <w:rPr>
          <w:szCs w:val="24"/>
        </w:rPr>
        <w:t>nu do plynovodní sítě. Bude nutné stanovit certifikovaná pravidla zápočtu vtlačeného biom</w:t>
      </w:r>
      <w:r w:rsidR="00C0703E">
        <w:rPr>
          <w:szCs w:val="24"/>
        </w:rPr>
        <w:t>eta</w:t>
      </w:r>
      <w:r w:rsidRPr="00FB317F">
        <w:rPr>
          <w:szCs w:val="24"/>
        </w:rPr>
        <w:t>nu do sítě CNG.</w:t>
      </w:r>
    </w:p>
    <w:p w:rsidR="008A2B1C" w:rsidRPr="00FB317F" w:rsidRDefault="0057426F" w:rsidP="00BA5B39">
      <w:pPr>
        <w:pStyle w:val="Standard"/>
        <w:spacing w:after="60"/>
        <w:ind w:left="357"/>
        <w:rPr>
          <w:szCs w:val="24"/>
        </w:rPr>
      </w:pPr>
      <w:r w:rsidRPr="00FB317F">
        <w:rPr>
          <w:szCs w:val="24"/>
        </w:rPr>
        <w:t>K 31. 12. 2017 bylo v</w:t>
      </w:r>
      <w:r w:rsidR="00A90965" w:rsidRPr="00FB317F">
        <w:rPr>
          <w:szCs w:val="24"/>
        </w:rPr>
        <w:t> Evropě v provozu 17 783 zařízení na výrobu bioplynu a 540 zařízení na výrobu biom</w:t>
      </w:r>
      <w:r w:rsidR="00C0703E">
        <w:rPr>
          <w:szCs w:val="24"/>
        </w:rPr>
        <w:t>eta</w:t>
      </w:r>
      <w:r w:rsidR="00A90965" w:rsidRPr="00FB317F">
        <w:rPr>
          <w:szCs w:val="24"/>
        </w:rPr>
        <w:t>nu. Roční produkce biom</w:t>
      </w:r>
      <w:r w:rsidR="00C0703E">
        <w:rPr>
          <w:szCs w:val="24"/>
        </w:rPr>
        <w:t>eta</w:t>
      </w:r>
      <w:r w:rsidR="00A90965" w:rsidRPr="00FB317F">
        <w:rPr>
          <w:szCs w:val="24"/>
        </w:rPr>
        <w:t xml:space="preserve">nu v roce 2017 byla 19 352 </w:t>
      </w:r>
      <w:proofErr w:type="spellStart"/>
      <w:r w:rsidR="00A90965" w:rsidRPr="00FB317F">
        <w:rPr>
          <w:szCs w:val="24"/>
        </w:rPr>
        <w:t>GWh</w:t>
      </w:r>
      <w:proofErr w:type="spellEnd"/>
      <w:r w:rsidR="00A90965" w:rsidRPr="00FB317F">
        <w:rPr>
          <w:szCs w:val="24"/>
        </w:rPr>
        <w:t xml:space="preserve"> a byl vyráběn v 21 zemích Evropy.</w:t>
      </w:r>
    </w:p>
    <w:p w:rsidR="008A2B1C" w:rsidRPr="00FB317F" w:rsidRDefault="00A90965" w:rsidP="00FD4C88">
      <w:pPr>
        <w:pStyle w:val="Standard"/>
        <w:numPr>
          <w:ilvl w:val="0"/>
          <w:numId w:val="46"/>
        </w:numPr>
        <w:spacing w:after="20"/>
        <w:ind w:left="357" w:hanging="357"/>
        <w:rPr>
          <w:szCs w:val="24"/>
          <w:u w:val="single"/>
        </w:rPr>
      </w:pPr>
      <w:r w:rsidRPr="00FB317F">
        <w:rPr>
          <w:szCs w:val="24"/>
          <w:u w:val="single"/>
        </w:rPr>
        <w:t>HVO –</w:t>
      </w:r>
      <w:r w:rsidR="000A63DD" w:rsidRPr="00FB317F">
        <w:rPr>
          <w:szCs w:val="24"/>
          <w:u w:val="single"/>
        </w:rPr>
        <w:t xml:space="preserve"> </w:t>
      </w:r>
      <w:r w:rsidRPr="00FB317F">
        <w:rPr>
          <w:szCs w:val="24"/>
          <w:u w:val="single"/>
        </w:rPr>
        <w:t>Hydrogenované rostlinné oleje</w:t>
      </w:r>
    </w:p>
    <w:p w:rsidR="008A2B1C" w:rsidRPr="00FB317F" w:rsidRDefault="00A90965" w:rsidP="00BA5B39">
      <w:pPr>
        <w:pStyle w:val="Standard"/>
        <w:spacing w:after="20"/>
        <w:ind w:left="357"/>
        <w:rPr>
          <w:szCs w:val="24"/>
        </w:rPr>
      </w:pPr>
      <w:r w:rsidRPr="00FB317F">
        <w:rPr>
          <w:szCs w:val="24"/>
        </w:rPr>
        <w:t>HVO j</w:t>
      </w:r>
      <w:r w:rsidR="007A404B" w:rsidRPr="00FB317F">
        <w:rPr>
          <w:szCs w:val="24"/>
        </w:rPr>
        <w:t>s</w:t>
      </w:r>
      <w:r w:rsidRPr="00FB317F">
        <w:rPr>
          <w:szCs w:val="24"/>
        </w:rPr>
        <w:t>ou novým vyspělým ekologickým palivem na bázi OZE.</w:t>
      </w:r>
    </w:p>
    <w:p w:rsidR="00BA4ACE" w:rsidRPr="00FB317F" w:rsidRDefault="00A90965" w:rsidP="002F13C0">
      <w:pPr>
        <w:pStyle w:val="Standard"/>
        <w:spacing w:after="20"/>
        <w:ind w:left="357"/>
        <w:rPr>
          <w:szCs w:val="24"/>
        </w:rPr>
      </w:pPr>
      <w:r w:rsidRPr="00FB317F">
        <w:rPr>
          <w:szCs w:val="24"/>
        </w:rPr>
        <w:t xml:space="preserve">Surovinou pro výrobu HVO jsou rostlinné oleje nepotravinářského a </w:t>
      </w:r>
      <w:proofErr w:type="spellStart"/>
      <w:r w:rsidRPr="00FB317F">
        <w:rPr>
          <w:szCs w:val="24"/>
        </w:rPr>
        <w:t>nekrmivářského</w:t>
      </w:r>
      <w:proofErr w:type="spellEnd"/>
      <w:r w:rsidRPr="00FB317F">
        <w:rPr>
          <w:szCs w:val="24"/>
        </w:rPr>
        <w:t xml:space="preserve"> použití a odpadní rostlinné oleje a případě živočišné tuky. Hydrogenované rostlinné oleje je obecný název směsi n-</w:t>
      </w:r>
      <w:proofErr w:type="spellStart"/>
      <w:r w:rsidRPr="00FB317F">
        <w:rPr>
          <w:szCs w:val="24"/>
        </w:rPr>
        <w:t>parafinických</w:t>
      </w:r>
      <w:proofErr w:type="spellEnd"/>
      <w:r w:rsidRPr="00FB317F">
        <w:rPr>
          <w:szCs w:val="24"/>
        </w:rPr>
        <w:t xml:space="preserve"> a </w:t>
      </w:r>
      <w:proofErr w:type="spellStart"/>
      <w:r w:rsidRPr="00FB317F">
        <w:rPr>
          <w:szCs w:val="24"/>
        </w:rPr>
        <w:t>iso-parafinických</w:t>
      </w:r>
      <w:proofErr w:type="spellEnd"/>
      <w:r w:rsidRPr="00FB317F">
        <w:rPr>
          <w:szCs w:val="24"/>
        </w:rPr>
        <w:t xml:space="preserve"> uhlovodíků (C15 až C17)</w:t>
      </w:r>
      <w:r w:rsidR="00BA4ACE" w:rsidRPr="00FB317F">
        <w:rPr>
          <w:szCs w:val="24"/>
        </w:rPr>
        <w:t xml:space="preserve">, </w:t>
      </w:r>
      <w:r w:rsidRPr="00FB317F">
        <w:rPr>
          <w:szCs w:val="24"/>
        </w:rPr>
        <w:t>vyrobených hydrogenací nenasycených mastných kyselin rostlinného původu (jako j</w:t>
      </w:r>
      <w:r w:rsidR="00BA4ACE" w:rsidRPr="00FB317F">
        <w:rPr>
          <w:szCs w:val="24"/>
        </w:rPr>
        <w:t xml:space="preserve">sou </w:t>
      </w:r>
      <w:r w:rsidRPr="00FB317F">
        <w:rPr>
          <w:szCs w:val="24"/>
        </w:rPr>
        <w:t>kokosový, řepkový, palmový a jin</w:t>
      </w:r>
      <w:r w:rsidR="00BA4ACE" w:rsidRPr="00FB317F">
        <w:rPr>
          <w:szCs w:val="24"/>
        </w:rPr>
        <w:t>é</w:t>
      </w:r>
      <w:r w:rsidRPr="00FB317F">
        <w:rPr>
          <w:szCs w:val="24"/>
        </w:rPr>
        <w:t xml:space="preserve"> olej</w:t>
      </w:r>
      <w:r w:rsidR="00BA4ACE" w:rsidRPr="00FB317F">
        <w:rPr>
          <w:szCs w:val="24"/>
        </w:rPr>
        <w:t>e</w:t>
      </w:r>
      <w:r w:rsidRPr="00FB317F">
        <w:rPr>
          <w:szCs w:val="24"/>
        </w:rPr>
        <w:t>)</w:t>
      </w:r>
      <w:r w:rsidR="00BA4ACE" w:rsidRPr="00FB317F">
        <w:rPr>
          <w:szCs w:val="24"/>
        </w:rPr>
        <w:t>.</w:t>
      </w:r>
      <w:r w:rsidRPr="00FB317F">
        <w:rPr>
          <w:szCs w:val="24"/>
        </w:rPr>
        <w:t xml:space="preserve"> Vhodnou surovinou jsou i upotřebené jedlé kuchyňské oleje. Podmínkou užití olejů je délka uhlovodíkového řetězce.</w:t>
      </w:r>
      <w:r w:rsidR="00BA4ACE" w:rsidRPr="00FB317F">
        <w:rPr>
          <w:szCs w:val="24"/>
        </w:rPr>
        <w:br w:type="page"/>
      </w:r>
    </w:p>
    <w:p w:rsidR="00BA4ACE" w:rsidRPr="00FB317F" w:rsidRDefault="00BA4ACE" w:rsidP="00BA5B39">
      <w:pPr>
        <w:pStyle w:val="Standard"/>
        <w:spacing w:after="20"/>
        <w:rPr>
          <w:szCs w:val="24"/>
        </w:rPr>
      </w:pPr>
    </w:p>
    <w:p w:rsidR="008A2B1C" w:rsidRPr="00FB317F" w:rsidRDefault="00A90965" w:rsidP="00BA5B39">
      <w:pPr>
        <w:pStyle w:val="Standard"/>
        <w:spacing w:after="20"/>
        <w:ind w:left="357"/>
        <w:rPr>
          <w:szCs w:val="24"/>
        </w:rPr>
      </w:pPr>
      <w:r w:rsidRPr="00FB317F">
        <w:rPr>
          <w:szCs w:val="24"/>
        </w:rPr>
        <w:t>Reakční podmínky výroby jsou velmi podobné běžným hydrogenačním technologií</w:t>
      </w:r>
      <w:r w:rsidR="00BA4ACE" w:rsidRPr="00FB317F">
        <w:rPr>
          <w:szCs w:val="24"/>
        </w:rPr>
        <w:t xml:space="preserve">m </w:t>
      </w:r>
      <w:r w:rsidRPr="00FB317F">
        <w:rPr>
          <w:szCs w:val="24"/>
        </w:rPr>
        <w:t>známým z petrolejářského průmyslu. Vzniklá uhlovodíková směs má velmi dobré jakostní ukazatele ve</w:t>
      </w:r>
      <w:r w:rsidR="001E1A96" w:rsidRPr="00FB317F">
        <w:rPr>
          <w:szCs w:val="24"/>
        </w:rPr>
        <w:t> </w:t>
      </w:r>
      <w:r w:rsidRPr="00FB317F">
        <w:rPr>
          <w:szCs w:val="24"/>
        </w:rPr>
        <w:t xml:space="preserve">srovnání s obdobnými ropnými uhlovodíky. Jedná se zejména o vyšší cetanové číslo, nulový obsah síry a aromátů a po procesu </w:t>
      </w:r>
      <w:r w:rsidR="00BA4ACE" w:rsidRPr="00FB317F">
        <w:rPr>
          <w:szCs w:val="24"/>
        </w:rPr>
        <w:t>i</w:t>
      </w:r>
      <w:r w:rsidRPr="00FB317F">
        <w:rPr>
          <w:szCs w:val="24"/>
        </w:rPr>
        <w:t xml:space="preserve">zomerace výborné nízkoteplotní vlastnosti. Jakostní parametry HVO jsou dány ČSN EN  15940 Motorová paliva – </w:t>
      </w:r>
      <w:proofErr w:type="spellStart"/>
      <w:r w:rsidRPr="00FB317F">
        <w:rPr>
          <w:szCs w:val="24"/>
        </w:rPr>
        <w:t>Parafinické</w:t>
      </w:r>
      <w:proofErr w:type="spellEnd"/>
      <w:r w:rsidRPr="00FB317F">
        <w:rPr>
          <w:szCs w:val="24"/>
        </w:rPr>
        <w:t xml:space="preserve"> motorové nafty získané syntézou nebo hydrogenací –Technické požadavky a metody zkoušení.</w:t>
      </w:r>
    </w:p>
    <w:p w:rsidR="008A2B1C" w:rsidRPr="00FB317F" w:rsidRDefault="00A90965" w:rsidP="00BA5B39">
      <w:pPr>
        <w:pStyle w:val="Standard"/>
        <w:spacing w:after="20"/>
        <w:ind w:left="357"/>
        <w:rPr>
          <w:szCs w:val="24"/>
        </w:rPr>
      </w:pPr>
      <w:r w:rsidRPr="00FB317F">
        <w:rPr>
          <w:szCs w:val="24"/>
        </w:rPr>
        <w:t>HVO lze používat ve směsi s běžnou motorovou naftou dle ČSN EN 590+A1 až do obsahu 30 % hm.</w:t>
      </w:r>
    </w:p>
    <w:p w:rsidR="008A2B1C" w:rsidRPr="00FB317F" w:rsidRDefault="00A90965" w:rsidP="00BA5B39">
      <w:pPr>
        <w:pStyle w:val="Standard"/>
        <w:spacing w:after="20"/>
        <w:ind w:left="357"/>
        <w:rPr>
          <w:szCs w:val="24"/>
        </w:rPr>
      </w:pPr>
      <w:r w:rsidRPr="00FB317F">
        <w:rPr>
          <w:szCs w:val="24"/>
        </w:rPr>
        <w:t>HVO oproti čisté motorové naftě z ropy vykazuje úsporu cca 40 až 60 % emisí skleníkových plynů.</w:t>
      </w:r>
    </w:p>
    <w:p w:rsidR="008A2B1C" w:rsidRPr="00FB317F" w:rsidRDefault="00A90965" w:rsidP="00BA5B39">
      <w:pPr>
        <w:pStyle w:val="Standard"/>
        <w:spacing w:after="20"/>
        <w:ind w:left="357"/>
        <w:rPr>
          <w:szCs w:val="24"/>
        </w:rPr>
      </w:pPr>
      <w:r w:rsidRPr="00FB317F">
        <w:rPr>
          <w:szCs w:val="24"/>
        </w:rPr>
        <w:t>Za hlavní problém výroby HVO v ČR je třeba považovat zajištění suroviny pro jejich výrobu, které musí splňovat podmínky certifikace v systému ISCC a musí splňovat požadavky směrnice 2018/2001</w:t>
      </w:r>
      <w:r w:rsidR="00E431D3" w:rsidRPr="00FB317F">
        <w:rPr>
          <w:szCs w:val="24"/>
        </w:rPr>
        <w:t> </w:t>
      </w:r>
      <w:r w:rsidRPr="00FB317F">
        <w:rPr>
          <w:szCs w:val="24"/>
        </w:rPr>
        <w:t>(EU). V podmínkách ČR se jeví jako nejvhodnější upotřebené kuchyňské oleje a nejedlé rostlinné oleje</w:t>
      </w:r>
      <w:r w:rsidR="00E431D3" w:rsidRPr="00FB317F">
        <w:rPr>
          <w:szCs w:val="24"/>
        </w:rPr>
        <w:t>,</w:t>
      </w:r>
      <w:r w:rsidRPr="00FB317F">
        <w:rPr>
          <w:szCs w:val="24"/>
        </w:rPr>
        <w:t xml:space="preserve"> např. řepkový olej. UCO se současné době sbírají v jenom velmi omezené míře na bázi dobrovolnosti sběru organizovaného některými městy. V případě této omezené formy sběru je využívaná komunální organizace. </w:t>
      </w:r>
      <w:r w:rsidR="00E431D3" w:rsidRPr="00FB317F">
        <w:rPr>
          <w:szCs w:val="24"/>
        </w:rPr>
        <w:t>Většina</w:t>
      </w:r>
      <w:r w:rsidRPr="00FB317F">
        <w:rPr>
          <w:szCs w:val="24"/>
        </w:rPr>
        <w:t xml:space="preserve"> UCO původem z domácností </w:t>
      </w:r>
      <w:r w:rsidR="00E431D3" w:rsidRPr="00FB317F">
        <w:rPr>
          <w:szCs w:val="24"/>
        </w:rPr>
        <w:t xml:space="preserve">se </w:t>
      </w:r>
      <w:r w:rsidRPr="00FB317F">
        <w:rPr>
          <w:szCs w:val="24"/>
        </w:rPr>
        <w:t>likviduje v kanalizaci, což způsobuje velké problémy v provozování sítě, v menší části j</w:t>
      </w:r>
      <w:r w:rsidR="00E431D3" w:rsidRPr="00FB317F">
        <w:rPr>
          <w:szCs w:val="24"/>
        </w:rPr>
        <w:t>sou</w:t>
      </w:r>
      <w:r w:rsidRPr="00FB317F">
        <w:rPr>
          <w:szCs w:val="24"/>
        </w:rPr>
        <w:t xml:space="preserve"> využíván</w:t>
      </w:r>
      <w:r w:rsidR="00E431D3" w:rsidRPr="00FB317F">
        <w:rPr>
          <w:szCs w:val="24"/>
        </w:rPr>
        <w:t>y</w:t>
      </w:r>
      <w:r w:rsidRPr="00FB317F">
        <w:rPr>
          <w:szCs w:val="24"/>
        </w:rPr>
        <w:t xml:space="preserve"> jako co-palivo s pevným palivem (uhlí, dříví) v místních lokálních topeništích.</w:t>
      </w:r>
    </w:p>
    <w:p w:rsidR="008A2B1C" w:rsidRPr="00FB317F" w:rsidRDefault="00A90965" w:rsidP="009C58DB">
      <w:pPr>
        <w:pStyle w:val="Standard"/>
        <w:ind w:left="357"/>
        <w:rPr>
          <w:szCs w:val="24"/>
        </w:rPr>
      </w:pPr>
      <w:r w:rsidRPr="00FB317F">
        <w:rPr>
          <w:szCs w:val="24"/>
        </w:rPr>
        <w:t>Technologie výroby HVO se skládá z těchto stupňů:</w:t>
      </w:r>
    </w:p>
    <w:p w:rsidR="008A2B1C" w:rsidRPr="00FB317F" w:rsidRDefault="00A90965" w:rsidP="00FD4C88">
      <w:pPr>
        <w:pStyle w:val="Standard"/>
        <w:numPr>
          <w:ilvl w:val="0"/>
          <w:numId w:val="47"/>
        </w:numPr>
        <w:ind w:left="714" w:hanging="357"/>
        <w:rPr>
          <w:szCs w:val="24"/>
        </w:rPr>
      </w:pPr>
      <w:r w:rsidRPr="00FB317F">
        <w:rPr>
          <w:szCs w:val="24"/>
        </w:rPr>
        <w:t>rostlinné oleje a živočišné oleje a UCO se po vyčištění a úpravě podrobují hydrogenaci vodíkem za těchto obvyklých technologických podmínek, které jsou závislé na použité surovině: teplota cca 350 °C, tlak větší než 45 bar, katalyzátor Ni-Co nebo Ni-Co na nosiči oxid křemičitý a hlinitý, LHSV 1,5 h-1 a poměr plynu k surovině 500</w:t>
      </w:r>
      <w:r w:rsidR="00A26C32" w:rsidRPr="00FB317F">
        <w:rPr>
          <w:szCs w:val="24"/>
        </w:rPr>
        <w:t xml:space="preserve"> </w:t>
      </w:r>
      <w:r w:rsidRPr="00FB317F">
        <w:rPr>
          <w:szCs w:val="24"/>
        </w:rPr>
        <w:t>Nm3/m3</w:t>
      </w:r>
      <w:r w:rsidR="00A26C32" w:rsidRPr="00FB317F">
        <w:rPr>
          <w:szCs w:val="24"/>
        </w:rPr>
        <w:t>;</w:t>
      </w:r>
    </w:p>
    <w:p w:rsidR="008A2B1C" w:rsidRPr="00FB317F" w:rsidRDefault="00A90965" w:rsidP="00FD4C88">
      <w:pPr>
        <w:pStyle w:val="Standard"/>
        <w:numPr>
          <w:ilvl w:val="0"/>
          <w:numId w:val="47"/>
        </w:numPr>
        <w:spacing w:after="20"/>
        <w:ind w:left="714" w:hanging="357"/>
        <w:rPr>
          <w:szCs w:val="24"/>
        </w:rPr>
      </w:pPr>
      <w:r w:rsidRPr="00FB317F">
        <w:rPr>
          <w:szCs w:val="24"/>
        </w:rPr>
        <w:t xml:space="preserve">vzniklá surovinová směs uhlovodíků se rozdělí destilací. Kapalné uhlovodíky se mohou užít přímo pro mísení do nafty nebo podrobit ke zlepšení vlastností zpracováním procesem </w:t>
      </w:r>
      <w:r w:rsidR="00A26C32" w:rsidRPr="00FB317F">
        <w:rPr>
          <w:szCs w:val="24"/>
        </w:rPr>
        <w:t>i</w:t>
      </w:r>
      <w:r w:rsidRPr="00FB317F">
        <w:rPr>
          <w:szCs w:val="24"/>
        </w:rPr>
        <w:t xml:space="preserve">zomerace, kterým lze docílit zlepšení zejména nízkoteplotních vlastností paliva.  </w:t>
      </w:r>
    </w:p>
    <w:p w:rsidR="008A2B1C" w:rsidRPr="00FB317F" w:rsidRDefault="00A90965" w:rsidP="00BA5B39">
      <w:pPr>
        <w:pStyle w:val="Standard"/>
        <w:spacing w:after="20"/>
        <w:ind w:left="357"/>
        <w:rPr>
          <w:szCs w:val="24"/>
        </w:rPr>
      </w:pPr>
      <w:r w:rsidRPr="00FB317F">
        <w:rPr>
          <w:szCs w:val="24"/>
        </w:rPr>
        <w:t>V podstatě jsou k dispozici dvě základní technologie výroby HVO: výroba „čistého HVO“ z rostlinných olejů a živočišných tuků a technologie co-</w:t>
      </w:r>
      <w:proofErr w:type="spellStart"/>
      <w:r w:rsidRPr="00FB317F">
        <w:rPr>
          <w:szCs w:val="24"/>
        </w:rPr>
        <w:t>processing</w:t>
      </w:r>
      <w:proofErr w:type="spellEnd"/>
      <w:r w:rsidRPr="00FB317F">
        <w:rPr>
          <w:szCs w:val="24"/>
        </w:rPr>
        <w:t xml:space="preserve">, kdy se hydrogenaci podrobuje směs rostlinných olejů (obvykle 5 až 10 % </w:t>
      </w:r>
      <w:proofErr w:type="spellStart"/>
      <w:r w:rsidRPr="00FB317F">
        <w:rPr>
          <w:szCs w:val="24"/>
        </w:rPr>
        <w:t>hmot</w:t>
      </w:r>
      <w:r w:rsidR="0008096C" w:rsidRPr="00FB317F">
        <w:rPr>
          <w:szCs w:val="24"/>
        </w:rPr>
        <w:t>n</w:t>
      </w:r>
      <w:proofErr w:type="spellEnd"/>
      <w:r w:rsidRPr="00FB317F">
        <w:rPr>
          <w:szCs w:val="24"/>
        </w:rPr>
        <w:t>.) s ropnými středními a</w:t>
      </w:r>
      <w:r w:rsidR="00A26C32" w:rsidRPr="00FB317F">
        <w:rPr>
          <w:szCs w:val="24"/>
        </w:rPr>
        <w:t> </w:t>
      </w:r>
      <w:r w:rsidRPr="00FB317F">
        <w:rPr>
          <w:szCs w:val="24"/>
        </w:rPr>
        <w:t>plynovými oleji.</w:t>
      </w:r>
    </w:p>
    <w:p w:rsidR="008A2B1C" w:rsidRPr="00FB317F" w:rsidRDefault="00A90965" w:rsidP="00BA5B39">
      <w:pPr>
        <w:pStyle w:val="Standard"/>
        <w:spacing w:after="20"/>
        <w:ind w:left="357"/>
        <w:rPr>
          <w:szCs w:val="24"/>
        </w:rPr>
      </w:pPr>
      <w:r w:rsidRPr="00FB317F">
        <w:rPr>
          <w:szCs w:val="24"/>
        </w:rPr>
        <w:t>Jako technologického zařízení pro výrobu HVO lze použít po jednoduché rekonstrukci stávajících Hydrogenačních technologií petroleje a plynového oleje</w:t>
      </w:r>
      <w:r w:rsidR="0008096C" w:rsidRPr="00FB317F">
        <w:rPr>
          <w:szCs w:val="24"/>
        </w:rPr>
        <w:t>,</w:t>
      </w:r>
      <w:r w:rsidRPr="00FB317F">
        <w:rPr>
          <w:szCs w:val="24"/>
        </w:rPr>
        <w:t xml:space="preserve"> např. v</w:t>
      </w:r>
      <w:r w:rsidR="0008096C" w:rsidRPr="00FB317F">
        <w:rPr>
          <w:szCs w:val="24"/>
        </w:rPr>
        <w:t> </w:t>
      </w:r>
      <w:r w:rsidRPr="00FB317F">
        <w:rPr>
          <w:szCs w:val="24"/>
        </w:rPr>
        <w:t>rafin</w:t>
      </w:r>
      <w:r w:rsidR="0008096C" w:rsidRPr="00FB317F">
        <w:rPr>
          <w:szCs w:val="24"/>
        </w:rPr>
        <w:t>é</w:t>
      </w:r>
      <w:r w:rsidRPr="00FB317F">
        <w:rPr>
          <w:szCs w:val="24"/>
        </w:rPr>
        <w:t>ri</w:t>
      </w:r>
      <w:r w:rsidR="0008096C" w:rsidRPr="00FB317F">
        <w:rPr>
          <w:szCs w:val="24"/>
        </w:rPr>
        <w:t xml:space="preserve">ích </w:t>
      </w:r>
      <w:r w:rsidRPr="00FB317F">
        <w:rPr>
          <w:szCs w:val="24"/>
        </w:rPr>
        <w:t>Litvínov, Kralupy a Pardubice.</w:t>
      </w:r>
    </w:p>
    <w:p w:rsidR="008A2B1C" w:rsidRPr="00FB317F" w:rsidRDefault="00A90965" w:rsidP="00BA5B39">
      <w:pPr>
        <w:pStyle w:val="Standard"/>
        <w:spacing w:after="20"/>
        <w:ind w:left="357"/>
        <w:rPr>
          <w:szCs w:val="24"/>
        </w:rPr>
      </w:pPr>
      <w:r w:rsidRPr="00FB317F">
        <w:rPr>
          <w:szCs w:val="24"/>
        </w:rPr>
        <w:t xml:space="preserve">Mísení HVO a dalších složek (petrolej, plynový olej, </w:t>
      </w:r>
      <w:proofErr w:type="spellStart"/>
      <w:r w:rsidRPr="00FB317F">
        <w:rPr>
          <w:szCs w:val="24"/>
        </w:rPr>
        <w:t>aditivace</w:t>
      </w:r>
      <w:proofErr w:type="spellEnd"/>
      <w:r w:rsidRPr="00FB317F">
        <w:rPr>
          <w:szCs w:val="24"/>
        </w:rPr>
        <w:t>) probíhá za stejných podmínek jako výroba standardní motorové nafty. Množství používaného HVO ve směsi je závislé na hustotě nafty.</w:t>
      </w:r>
    </w:p>
    <w:p w:rsidR="008A2B1C" w:rsidRPr="00FB317F" w:rsidRDefault="00A90965" w:rsidP="00BA5B39">
      <w:pPr>
        <w:pStyle w:val="Standard"/>
        <w:spacing w:after="60"/>
        <w:ind w:firstLine="357"/>
        <w:rPr>
          <w:szCs w:val="24"/>
        </w:rPr>
      </w:pPr>
      <w:r w:rsidRPr="00FB317F">
        <w:rPr>
          <w:szCs w:val="24"/>
        </w:rPr>
        <w:t>Distribuce směsné nafty ke spotřebiteli je stejná jako v případě motorové nafty.</w:t>
      </w:r>
    </w:p>
    <w:p w:rsidR="008A2B1C" w:rsidRPr="00FB317F" w:rsidRDefault="00A90965" w:rsidP="00FD4C88">
      <w:pPr>
        <w:pStyle w:val="Standard"/>
        <w:numPr>
          <w:ilvl w:val="0"/>
          <w:numId w:val="46"/>
        </w:numPr>
        <w:spacing w:after="20"/>
        <w:ind w:left="357" w:hanging="357"/>
        <w:rPr>
          <w:szCs w:val="24"/>
          <w:u w:val="single"/>
        </w:rPr>
      </w:pPr>
      <w:r w:rsidRPr="00FB317F">
        <w:rPr>
          <w:szCs w:val="24"/>
          <w:u w:val="single"/>
        </w:rPr>
        <w:t>Bio zkapalněné ropné plyny</w:t>
      </w:r>
    </w:p>
    <w:p w:rsidR="008A2B1C" w:rsidRPr="00FB317F" w:rsidRDefault="00A90965" w:rsidP="00BA5B39">
      <w:pPr>
        <w:pStyle w:val="Standard"/>
        <w:spacing w:after="20"/>
        <w:ind w:left="357"/>
        <w:rPr>
          <w:szCs w:val="24"/>
        </w:rPr>
      </w:pPr>
      <w:proofErr w:type="spellStart"/>
      <w:r w:rsidRPr="00FB317F">
        <w:rPr>
          <w:szCs w:val="24"/>
        </w:rPr>
        <w:t>BioLPG</w:t>
      </w:r>
      <w:proofErr w:type="spellEnd"/>
      <w:r w:rsidRPr="00FB317F">
        <w:rPr>
          <w:szCs w:val="24"/>
        </w:rPr>
        <w:t xml:space="preserve"> je chemicky analog klasických LPG z konvenčních zdrojů, což je zkapalněná směs ropných plynů, převážně propanu a butanu.</w:t>
      </w:r>
    </w:p>
    <w:p w:rsidR="008A2B1C" w:rsidRPr="00FB317F" w:rsidRDefault="00A90965" w:rsidP="00BA5B39">
      <w:pPr>
        <w:pStyle w:val="Standard"/>
        <w:spacing w:after="20"/>
        <w:ind w:left="357"/>
        <w:rPr>
          <w:szCs w:val="24"/>
        </w:rPr>
      </w:pPr>
      <w:r w:rsidRPr="00FB317F">
        <w:rPr>
          <w:szCs w:val="24"/>
        </w:rPr>
        <w:t xml:space="preserve">Původ </w:t>
      </w:r>
      <w:proofErr w:type="spellStart"/>
      <w:r w:rsidRPr="00FB317F">
        <w:rPr>
          <w:szCs w:val="24"/>
        </w:rPr>
        <w:t>bioLPG</w:t>
      </w:r>
      <w:proofErr w:type="spellEnd"/>
      <w:r w:rsidRPr="00FB317F">
        <w:rPr>
          <w:szCs w:val="24"/>
        </w:rPr>
        <w:t xml:space="preserve"> lze odvodit od biomasy. Obvykle se jedná o vedlejší výrobek procesu, kde je základní surovinou biomasa a výrobkem biopalivo. Jakostní parametry pro pohon vozidel jsou dané ČSN EN 589.</w:t>
      </w:r>
    </w:p>
    <w:p w:rsidR="00903AC8" w:rsidRPr="00FB317F" w:rsidRDefault="00A90965" w:rsidP="00BA5B39">
      <w:pPr>
        <w:pStyle w:val="Standard"/>
        <w:spacing w:after="20"/>
        <w:ind w:left="357"/>
        <w:rPr>
          <w:szCs w:val="24"/>
        </w:rPr>
      </w:pPr>
      <w:proofErr w:type="spellStart"/>
      <w:r w:rsidRPr="00FB317F">
        <w:rPr>
          <w:szCs w:val="24"/>
        </w:rPr>
        <w:t>BioLPG</w:t>
      </w:r>
      <w:proofErr w:type="spellEnd"/>
      <w:r w:rsidRPr="00FB317F">
        <w:rPr>
          <w:szCs w:val="24"/>
        </w:rPr>
        <w:t xml:space="preserve"> lze díky chemickým a fyzikálním vlastnostem libovolně mísit s LPG fosilního původu.  LPG je také uváděn na trh jako palivo (palivo a pohonná hmota) fosilního původu </w:t>
      </w:r>
    </w:p>
    <w:p w:rsidR="00903AC8" w:rsidRPr="00FB317F" w:rsidRDefault="00903AC8" w:rsidP="00BA5B39">
      <w:pPr>
        <w:pStyle w:val="Standard"/>
        <w:spacing w:after="20"/>
        <w:rPr>
          <w:szCs w:val="24"/>
        </w:rPr>
      </w:pPr>
    </w:p>
    <w:p w:rsidR="008A2B1C" w:rsidRPr="00FB317F" w:rsidRDefault="00A90965" w:rsidP="00BA5B39">
      <w:pPr>
        <w:pStyle w:val="Standard"/>
        <w:spacing w:after="20"/>
        <w:ind w:firstLine="357"/>
        <w:rPr>
          <w:szCs w:val="24"/>
        </w:rPr>
      </w:pPr>
      <w:r w:rsidRPr="00FB317F">
        <w:rPr>
          <w:szCs w:val="24"/>
        </w:rPr>
        <w:t>odpadající ze zpracování ropy v rafinériích.</w:t>
      </w:r>
    </w:p>
    <w:p w:rsidR="008A2B1C" w:rsidRPr="00FB317F" w:rsidRDefault="00A90965" w:rsidP="00BA5B39">
      <w:pPr>
        <w:pStyle w:val="Standard"/>
        <w:spacing w:after="60"/>
        <w:ind w:left="357"/>
        <w:rPr>
          <w:szCs w:val="24"/>
        </w:rPr>
      </w:pPr>
      <w:proofErr w:type="spellStart"/>
      <w:r w:rsidRPr="00FB317F">
        <w:rPr>
          <w:szCs w:val="24"/>
        </w:rPr>
        <w:t>BioLPG</w:t>
      </w:r>
      <w:proofErr w:type="spellEnd"/>
      <w:r w:rsidRPr="00FB317F">
        <w:rPr>
          <w:szCs w:val="24"/>
        </w:rPr>
        <w:t xml:space="preserve"> odpadá a lze jej získat jako hlavní či vedlejší produkt při těchto výrobách vyspělých biopaliv</w:t>
      </w:r>
      <w:r w:rsidR="00903AC8" w:rsidRPr="00FB317F">
        <w:rPr>
          <w:szCs w:val="24"/>
        </w:rPr>
        <w:t>,</w:t>
      </w:r>
      <w:r w:rsidRPr="00FB317F">
        <w:rPr>
          <w:szCs w:val="24"/>
        </w:rPr>
        <w:t xml:space="preserve"> např. hydrogenace glycerinu z UCO, </w:t>
      </w:r>
      <w:proofErr w:type="spellStart"/>
      <w:r w:rsidRPr="00FB317F">
        <w:rPr>
          <w:szCs w:val="24"/>
        </w:rPr>
        <w:t>hydrogenolýza</w:t>
      </w:r>
      <w:proofErr w:type="spellEnd"/>
      <w:r w:rsidRPr="00FB317F">
        <w:rPr>
          <w:szCs w:val="24"/>
        </w:rPr>
        <w:t>,</w:t>
      </w:r>
      <w:r w:rsidR="00903AC8" w:rsidRPr="00FB317F">
        <w:rPr>
          <w:szCs w:val="24"/>
        </w:rPr>
        <w:t xml:space="preserve"> </w:t>
      </w:r>
      <w:r w:rsidRPr="00FB317F">
        <w:rPr>
          <w:szCs w:val="24"/>
        </w:rPr>
        <w:t>dehydrogenace</w:t>
      </w:r>
      <w:r w:rsidR="00903AC8" w:rsidRPr="00FB317F">
        <w:rPr>
          <w:szCs w:val="24"/>
        </w:rPr>
        <w:t xml:space="preserve"> </w:t>
      </w:r>
      <w:r w:rsidRPr="00FB317F">
        <w:rPr>
          <w:szCs w:val="24"/>
        </w:rPr>
        <w:t>a</w:t>
      </w:r>
      <w:r w:rsidR="00903AC8" w:rsidRPr="00FB317F">
        <w:rPr>
          <w:szCs w:val="24"/>
        </w:rPr>
        <w:t> </w:t>
      </w:r>
      <w:r w:rsidRPr="00FB317F">
        <w:rPr>
          <w:szCs w:val="24"/>
        </w:rPr>
        <w:t>v budoucnu technologi</w:t>
      </w:r>
      <w:r w:rsidR="00A736A8" w:rsidRPr="00FB317F">
        <w:rPr>
          <w:szCs w:val="24"/>
        </w:rPr>
        <w:t>e</w:t>
      </w:r>
      <w:r w:rsidRPr="00FB317F">
        <w:rPr>
          <w:szCs w:val="24"/>
        </w:rPr>
        <w:t xml:space="preserve"> FT.</w:t>
      </w:r>
    </w:p>
    <w:p w:rsidR="008A2B1C" w:rsidRPr="00FB317F" w:rsidRDefault="00A90965" w:rsidP="00FD4C88">
      <w:pPr>
        <w:pStyle w:val="Standard"/>
        <w:numPr>
          <w:ilvl w:val="0"/>
          <w:numId w:val="46"/>
        </w:numPr>
        <w:ind w:left="357" w:hanging="357"/>
        <w:rPr>
          <w:szCs w:val="24"/>
          <w:u w:val="single"/>
        </w:rPr>
      </w:pPr>
      <w:r w:rsidRPr="00FB317F">
        <w:rPr>
          <w:szCs w:val="24"/>
          <w:u w:val="single"/>
        </w:rPr>
        <w:t>Přehled opatření k</w:t>
      </w:r>
      <w:r w:rsidR="002C793F" w:rsidRPr="00FB317F">
        <w:rPr>
          <w:szCs w:val="24"/>
          <w:u w:val="single"/>
        </w:rPr>
        <w:t>e</w:t>
      </w:r>
      <w:r w:rsidRPr="00FB317F">
        <w:rPr>
          <w:szCs w:val="24"/>
          <w:u w:val="single"/>
        </w:rPr>
        <w:t xml:space="preserve"> splnění cílů i částečného OZE a snížení GHG do roku 2030</w:t>
      </w:r>
    </w:p>
    <w:p w:rsidR="008A2B1C" w:rsidRPr="00FB317F" w:rsidRDefault="00E05773" w:rsidP="00FD4C88">
      <w:pPr>
        <w:pStyle w:val="Standard"/>
        <w:numPr>
          <w:ilvl w:val="0"/>
          <w:numId w:val="47"/>
        </w:numPr>
        <w:ind w:left="714" w:hanging="357"/>
        <w:rPr>
          <w:szCs w:val="24"/>
        </w:rPr>
      </w:pPr>
      <w:r w:rsidRPr="00FB317F">
        <w:rPr>
          <w:szCs w:val="24"/>
        </w:rPr>
        <w:t>p</w:t>
      </w:r>
      <w:r w:rsidR="00A90965" w:rsidRPr="00FB317F">
        <w:rPr>
          <w:szCs w:val="24"/>
        </w:rPr>
        <w:t>lošné zavedení benzinu E10</w:t>
      </w:r>
    </w:p>
    <w:p w:rsidR="008A2B1C" w:rsidRPr="00FB317F" w:rsidRDefault="00E05773" w:rsidP="00FD4C88">
      <w:pPr>
        <w:pStyle w:val="Standard"/>
        <w:numPr>
          <w:ilvl w:val="0"/>
          <w:numId w:val="47"/>
        </w:numPr>
        <w:ind w:left="714" w:hanging="357"/>
        <w:rPr>
          <w:szCs w:val="24"/>
        </w:rPr>
      </w:pPr>
      <w:r w:rsidRPr="00FB317F">
        <w:rPr>
          <w:szCs w:val="24"/>
        </w:rPr>
        <w:t>p</w:t>
      </w:r>
      <w:r w:rsidR="00A90965" w:rsidRPr="00FB317F">
        <w:rPr>
          <w:szCs w:val="24"/>
        </w:rPr>
        <w:t>lošné zavedení motorové nafty B8 nebo B10</w:t>
      </w:r>
    </w:p>
    <w:p w:rsidR="008A2B1C" w:rsidRPr="00FB317F" w:rsidRDefault="00E05773" w:rsidP="00FD4C88">
      <w:pPr>
        <w:pStyle w:val="Standard"/>
        <w:numPr>
          <w:ilvl w:val="0"/>
          <w:numId w:val="47"/>
        </w:numPr>
        <w:spacing w:after="20"/>
        <w:ind w:left="714" w:hanging="357"/>
        <w:rPr>
          <w:szCs w:val="24"/>
        </w:rPr>
      </w:pPr>
      <w:proofErr w:type="spellStart"/>
      <w:r w:rsidRPr="00FB317F">
        <w:rPr>
          <w:szCs w:val="24"/>
        </w:rPr>
        <w:t>v</w:t>
      </w:r>
      <w:r w:rsidR="00A90965" w:rsidRPr="00FB317F">
        <w:rPr>
          <w:szCs w:val="24"/>
        </w:rPr>
        <w:t>ysokokoncentrovaná</w:t>
      </w:r>
      <w:proofErr w:type="spellEnd"/>
      <w:r w:rsidR="00A90965" w:rsidRPr="00FB317F">
        <w:rPr>
          <w:szCs w:val="24"/>
        </w:rPr>
        <w:t xml:space="preserve"> biopaliva pro uzavřené flotily vozidel</w:t>
      </w:r>
      <w:r w:rsidRPr="00FB317F">
        <w:rPr>
          <w:szCs w:val="24"/>
        </w:rPr>
        <w:t>.</w:t>
      </w:r>
    </w:p>
    <w:p w:rsidR="008A2B1C" w:rsidRPr="00FB317F" w:rsidRDefault="00A90965" w:rsidP="00E05773">
      <w:pPr>
        <w:pStyle w:val="Standard"/>
        <w:spacing w:after="60"/>
        <w:ind w:left="357"/>
        <w:rPr>
          <w:szCs w:val="24"/>
        </w:rPr>
      </w:pPr>
      <w:r w:rsidRPr="00FB317F">
        <w:rPr>
          <w:szCs w:val="24"/>
        </w:rPr>
        <w:t>Tato opatření jsou techno</w:t>
      </w:r>
      <w:r w:rsidR="00E05773" w:rsidRPr="00FB317F">
        <w:rPr>
          <w:szCs w:val="24"/>
        </w:rPr>
        <w:t>lo</w:t>
      </w:r>
      <w:r w:rsidRPr="00FB317F">
        <w:rPr>
          <w:szCs w:val="24"/>
        </w:rPr>
        <w:t>gicky vyřešena a lze aplikovat v praxi okamžitě</w:t>
      </w:r>
      <w:r w:rsidR="00E05773" w:rsidRPr="00FB317F">
        <w:rPr>
          <w:szCs w:val="24"/>
        </w:rPr>
        <w:t>.</w:t>
      </w:r>
    </w:p>
    <w:p w:rsidR="008A2B1C" w:rsidRPr="00FB317F" w:rsidRDefault="00A90965" w:rsidP="00FD4C88">
      <w:pPr>
        <w:pStyle w:val="Standard"/>
        <w:numPr>
          <w:ilvl w:val="0"/>
          <w:numId w:val="46"/>
        </w:numPr>
        <w:spacing w:after="20"/>
        <w:ind w:left="357" w:hanging="357"/>
        <w:rPr>
          <w:szCs w:val="24"/>
          <w:u w:val="single"/>
        </w:rPr>
      </w:pPr>
      <w:r w:rsidRPr="00FB317F">
        <w:rPr>
          <w:szCs w:val="24"/>
          <w:u w:val="single"/>
        </w:rPr>
        <w:t>Automobilové benziny a motorová nafta s vyšším podílem biopaliv</w:t>
      </w:r>
    </w:p>
    <w:p w:rsidR="008A2B1C" w:rsidRPr="00FB317F" w:rsidRDefault="00A90965" w:rsidP="009C58DB">
      <w:pPr>
        <w:pStyle w:val="Standard"/>
        <w:ind w:left="357"/>
        <w:rPr>
          <w:szCs w:val="24"/>
        </w:rPr>
      </w:pPr>
      <w:r w:rsidRPr="00FB317F">
        <w:rPr>
          <w:szCs w:val="24"/>
        </w:rPr>
        <w:t>Výroba a použití standardních motorových paliv (automobilových ben</w:t>
      </w:r>
      <w:r w:rsidR="00E05773" w:rsidRPr="00FB317F">
        <w:rPr>
          <w:szCs w:val="24"/>
        </w:rPr>
        <w:t>z</w:t>
      </w:r>
      <w:r w:rsidRPr="00FB317F">
        <w:rPr>
          <w:szCs w:val="24"/>
        </w:rPr>
        <w:t xml:space="preserve">inů a motorové nafty) s vyšším obsahem biopaliv </w:t>
      </w:r>
      <w:r w:rsidR="00707455" w:rsidRPr="00FB317F">
        <w:rPr>
          <w:szCs w:val="24"/>
        </w:rPr>
        <w:t>1</w:t>
      </w:r>
      <w:r w:rsidRPr="00FB317F">
        <w:rPr>
          <w:szCs w:val="24"/>
        </w:rPr>
        <w:t>. generace v dopravě je nejjednoduš</w:t>
      </w:r>
      <w:r w:rsidR="00707455" w:rsidRPr="00FB317F">
        <w:rPr>
          <w:szCs w:val="24"/>
        </w:rPr>
        <w:t>š</w:t>
      </w:r>
      <w:r w:rsidRPr="00FB317F">
        <w:rPr>
          <w:szCs w:val="24"/>
        </w:rPr>
        <w:t>ím, nejlacinějším a</w:t>
      </w:r>
      <w:r w:rsidR="00707455" w:rsidRPr="00FB317F">
        <w:rPr>
          <w:szCs w:val="24"/>
        </w:rPr>
        <w:t> </w:t>
      </w:r>
      <w:r w:rsidRPr="00FB317F">
        <w:rPr>
          <w:szCs w:val="24"/>
        </w:rPr>
        <w:t>alespoň částečným způsobem plnění náhrady fosilní energie energií z OZE a snižování emisí skleníkových plynů. Jejich využití je však limitováno:</w:t>
      </w:r>
    </w:p>
    <w:p w:rsidR="008A2B1C" w:rsidRPr="00FB317F" w:rsidRDefault="00A90965" w:rsidP="00FD4C88">
      <w:pPr>
        <w:pStyle w:val="Standard"/>
        <w:numPr>
          <w:ilvl w:val="0"/>
          <w:numId w:val="47"/>
        </w:numPr>
        <w:ind w:left="714" w:hanging="357"/>
        <w:rPr>
          <w:szCs w:val="24"/>
        </w:rPr>
      </w:pPr>
      <w:r w:rsidRPr="00FB317F">
        <w:rPr>
          <w:szCs w:val="24"/>
        </w:rPr>
        <w:t>maximálním obsahem kyslíku nebo objemovému obsahu biosložky v palivu dle ČSN EN 228 a ČSN EN 589</w:t>
      </w:r>
      <w:r w:rsidR="00484950" w:rsidRPr="00FB317F">
        <w:rPr>
          <w:szCs w:val="24"/>
        </w:rPr>
        <w:t>;</w:t>
      </w:r>
    </w:p>
    <w:p w:rsidR="008A2B1C" w:rsidRPr="00FB317F" w:rsidRDefault="00A90965" w:rsidP="00FD4C88">
      <w:pPr>
        <w:pStyle w:val="Standard"/>
        <w:numPr>
          <w:ilvl w:val="0"/>
          <w:numId w:val="47"/>
        </w:numPr>
        <w:spacing w:after="60"/>
        <w:ind w:left="714" w:hanging="357"/>
        <w:rPr>
          <w:szCs w:val="24"/>
        </w:rPr>
      </w:pPr>
      <w:r w:rsidRPr="00FB317F">
        <w:rPr>
          <w:szCs w:val="24"/>
        </w:rPr>
        <w:t xml:space="preserve">maximálním objemem použití biosložky </w:t>
      </w:r>
      <w:r w:rsidR="00484950" w:rsidRPr="00FB317F">
        <w:rPr>
          <w:szCs w:val="24"/>
        </w:rPr>
        <w:t>1</w:t>
      </w:r>
      <w:r w:rsidRPr="00FB317F">
        <w:rPr>
          <w:szCs w:val="24"/>
        </w:rPr>
        <w:t>. generace na celkové spotřebě energie pro dopravní účely ve smyslu legislativy RED II.</w:t>
      </w:r>
    </w:p>
    <w:p w:rsidR="008A2B1C" w:rsidRPr="00FB317F" w:rsidRDefault="00A90965" w:rsidP="00484950">
      <w:pPr>
        <w:pStyle w:val="Standard"/>
        <w:ind w:firstLine="357"/>
        <w:rPr>
          <w:i/>
          <w:iCs/>
          <w:szCs w:val="24"/>
        </w:rPr>
      </w:pPr>
      <w:r w:rsidRPr="00FB317F">
        <w:rPr>
          <w:i/>
          <w:iCs/>
          <w:szCs w:val="24"/>
        </w:rPr>
        <w:t>Automobilové benziny</w:t>
      </w:r>
    </w:p>
    <w:p w:rsidR="008A2B1C" w:rsidRPr="00FB317F" w:rsidRDefault="00A90965" w:rsidP="00484950">
      <w:pPr>
        <w:pStyle w:val="Standard"/>
        <w:ind w:left="357"/>
        <w:rPr>
          <w:szCs w:val="24"/>
        </w:rPr>
      </w:pPr>
      <w:r w:rsidRPr="00FB317F">
        <w:rPr>
          <w:szCs w:val="24"/>
        </w:rPr>
        <w:t xml:space="preserve">V ČR je v současné době </w:t>
      </w:r>
      <w:r w:rsidR="00484950" w:rsidRPr="00FB317F">
        <w:rPr>
          <w:szCs w:val="24"/>
        </w:rPr>
        <w:t xml:space="preserve">v benzinech </w:t>
      </w:r>
      <w:r w:rsidRPr="00FB317F">
        <w:rPr>
          <w:szCs w:val="24"/>
        </w:rPr>
        <w:t>stanoven zákonem o ochraně ovzduší maximální obsah biopaliv 4,1 % V/V a technickou normou EN 228+A1 maximální objem kyslíku 2,7</w:t>
      </w:r>
      <w:r w:rsidR="00EC0A84" w:rsidRPr="00FB317F">
        <w:rPr>
          <w:szCs w:val="24"/>
        </w:rPr>
        <w:t> </w:t>
      </w:r>
      <w:r w:rsidRPr="00FB317F">
        <w:rPr>
          <w:szCs w:val="24"/>
        </w:rPr>
        <w:t>% m/m</w:t>
      </w:r>
      <w:r w:rsidR="00EC0A84" w:rsidRPr="00FB317F">
        <w:rPr>
          <w:szCs w:val="24"/>
        </w:rPr>
        <w:t>,</w:t>
      </w:r>
      <w:r w:rsidRPr="00FB317F">
        <w:rPr>
          <w:szCs w:val="24"/>
        </w:rPr>
        <w:t xml:space="preserve"> resp</w:t>
      </w:r>
      <w:r w:rsidR="00EC0A84" w:rsidRPr="00FB317F">
        <w:rPr>
          <w:szCs w:val="24"/>
        </w:rPr>
        <w:t>.</w:t>
      </w:r>
      <w:r w:rsidRPr="00FB317F">
        <w:rPr>
          <w:szCs w:val="24"/>
        </w:rPr>
        <w:t xml:space="preserve"> max 5 % V/V biopaliva (provozní označení E5) anebo 3,7 % m/m kyslíku, resp</w:t>
      </w:r>
      <w:r w:rsidR="00EC0A84" w:rsidRPr="00FB317F">
        <w:rPr>
          <w:szCs w:val="24"/>
        </w:rPr>
        <w:t>.</w:t>
      </w:r>
      <w:r w:rsidRPr="00FB317F">
        <w:rPr>
          <w:szCs w:val="24"/>
        </w:rPr>
        <w:t xml:space="preserve"> max. 10 % V/V biopaliva (provozní označení E10).</w:t>
      </w:r>
    </w:p>
    <w:p w:rsidR="008A2B1C" w:rsidRPr="00FB317F" w:rsidRDefault="00A90965" w:rsidP="00EC0A84">
      <w:pPr>
        <w:pStyle w:val="Standard"/>
        <w:spacing w:after="60"/>
        <w:ind w:firstLine="357"/>
        <w:rPr>
          <w:szCs w:val="24"/>
        </w:rPr>
      </w:pPr>
      <w:r w:rsidRPr="00FB317F">
        <w:rPr>
          <w:szCs w:val="24"/>
        </w:rPr>
        <w:t>Na trhu je k dispozici výhradně benzin E5.</w:t>
      </w:r>
    </w:p>
    <w:p w:rsidR="008A2B1C" w:rsidRPr="00FB317F" w:rsidRDefault="00A90965" w:rsidP="00EC0A84">
      <w:pPr>
        <w:pStyle w:val="Standard"/>
        <w:ind w:firstLine="357"/>
        <w:rPr>
          <w:i/>
          <w:iCs/>
          <w:szCs w:val="24"/>
        </w:rPr>
      </w:pPr>
      <w:r w:rsidRPr="00FB317F">
        <w:rPr>
          <w:i/>
          <w:iCs/>
          <w:szCs w:val="24"/>
        </w:rPr>
        <w:t>Motorová nafta</w:t>
      </w:r>
    </w:p>
    <w:p w:rsidR="008A2B1C" w:rsidRPr="00FB317F" w:rsidRDefault="00A90965" w:rsidP="00EC0A84">
      <w:pPr>
        <w:pStyle w:val="Standard"/>
        <w:ind w:left="357"/>
        <w:rPr>
          <w:szCs w:val="24"/>
        </w:rPr>
      </w:pPr>
      <w:r w:rsidRPr="00FB317F">
        <w:rPr>
          <w:szCs w:val="24"/>
        </w:rPr>
        <w:t xml:space="preserve">V ČR je v současné době </w:t>
      </w:r>
      <w:r w:rsidR="00EC0A84" w:rsidRPr="00FB317F">
        <w:rPr>
          <w:szCs w:val="24"/>
        </w:rPr>
        <w:t xml:space="preserve">v motorové naftě </w:t>
      </w:r>
      <w:r w:rsidRPr="00FB317F">
        <w:rPr>
          <w:szCs w:val="24"/>
        </w:rPr>
        <w:t>stanoven zákonem</w:t>
      </w:r>
      <w:r w:rsidR="00EC0A84" w:rsidRPr="00FB317F">
        <w:rPr>
          <w:szCs w:val="24"/>
        </w:rPr>
        <w:t xml:space="preserve"> </w:t>
      </w:r>
      <w:r w:rsidRPr="00FB317F">
        <w:rPr>
          <w:szCs w:val="24"/>
        </w:rPr>
        <w:t>o ochraně ovzduší maximální obsah biopaliva (MEŘO</w:t>
      </w:r>
      <w:r w:rsidR="00EC0A84" w:rsidRPr="00FB317F">
        <w:rPr>
          <w:szCs w:val="24"/>
        </w:rPr>
        <w:t>,</w:t>
      </w:r>
      <w:r w:rsidRPr="00FB317F">
        <w:rPr>
          <w:szCs w:val="24"/>
        </w:rPr>
        <w:t xml:space="preserve"> resp</w:t>
      </w:r>
      <w:r w:rsidR="00EC0A84" w:rsidRPr="00FB317F">
        <w:rPr>
          <w:szCs w:val="24"/>
        </w:rPr>
        <w:t>.</w:t>
      </w:r>
      <w:r w:rsidRPr="00FB317F">
        <w:rPr>
          <w:szCs w:val="24"/>
        </w:rPr>
        <w:t xml:space="preserve"> FAME) 6,1 % V/V a technickou normou EN 590 +A1 maximální objem biosložky max 7 % V/V</w:t>
      </w:r>
      <w:r w:rsidR="00EC0A84" w:rsidRPr="00FB317F">
        <w:rPr>
          <w:szCs w:val="24"/>
        </w:rPr>
        <w:t xml:space="preserve"> </w:t>
      </w:r>
      <w:r w:rsidRPr="00FB317F">
        <w:rPr>
          <w:szCs w:val="24"/>
        </w:rPr>
        <w:t>(provozní označení B7).</w:t>
      </w:r>
    </w:p>
    <w:p w:rsidR="008A2B1C" w:rsidRPr="00FB317F" w:rsidRDefault="00A90965" w:rsidP="00EC0A84">
      <w:pPr>
        <w:pStyle w:val="Standard"/>
        <w:ind w:firstLine="357"/>
        <w:rPr>
          <w:szCs w:val="24"/>
        </w:rPr>
      </w:pPr>
      <w:r w:rsidRPr="00FB317F">
        <w:rPr>
          <w:szCs w:val="24"/>
        </w:rPr>
        <w:t>Na trhu je k dispozici výhradně motorová nafta B7.</w:t>
      </w:r>
    </w:p>
    <w:p w:rsidR="008A2B1C" w:rsidRPr="00FB317F" w:rsidRDefault="00A90965" w:rsidP="00FB317F">
      <w:pPr>
        <w:pStyle w:val="Nadpis2"/>
        <w:numPr>
          <w:ilvl w:val="0"/>
          <w:numId w:val="34"/>
        </w:numPr>
        <w:tabs>
          <w:tab w:val="clear" w:pos="94"/>
          <w:tab w:val="left" w:pos="454"/>
        </w:tabs>
        <w:overflowPunct w:val="0"/>
        <w:autoSpaceDE w:val="0"/>
        <w:ind w:left="454" w:hanging="454"/>
      </w:pPr>
      <w:bookmarkStart w:id="38" w:name="_Toc38019657"/>
      <w:bookmarkStart w:id="39" w:name="_Toc38019720"/>
      <w:bookmarkStart w:id="40" w:name="_Toc38023732"/>
      <w:r w:rsidRPr="00FB317F">
        <w:t>Identifikace vhodných způsobů uplatnění nových technologií a přístupů včetně barier bránících jejich uplatnění v praxi</w:t>
      </w:r>
      <w:bookmarkEnd w:id="38"/>
      <w:bookmarkEnd w:id="39"/>
      <w:bookmarkEnd w:id="40"/>
    </w:p>
    <w:p w:rsidR="008A2B1C" w:rsidRPr="00FE3DDA" w:rsidRDefault="00A90965" w:rsidP="009C58DB">
      <w:pPr>
        <w:pStyle w:val="Standard"/>
        <w:spacing w:after="20"/>
        <w:rPr>
          <w:szCs w:val="24"/>
        </w:rPr>
      </w:pPr>
      <w:r w:rsidRPr="00FE3DDA">
        <w:rPr>
          <w:szCs w:val="24"/>
        </w:rPr>
        <w:t>Výzkum a vývoj je v oblasti alternativních paliv z mnoha hledisek velmi složitý a časově a</w:t>
      </w:r>
      <w:r w:rsidR="00080E6B">
        <w:rPr>
          <w:szCs w:val="24"/>
        </w:rPr>
        <w:t> </w:t>
      </w:r>
      <w:r w:rsidRPr="00FE3DDA">
        <w:rPr>
          <w:szCs w:val="24"/>
        </w:rPr>
        <w:t>finančně náročný. Dále je rozvíjen v celé řadě odlišných oborů jak dle surovinové</w:t>
      </w:r>
      <w:r w:rsidR="00080E6B">
        <w:rPr>
          <w:szCs w:val="24"/>
        </w:rPr>
        <w:t>,</w:t>
      </w:r>
      <w:r w:rsidRPr="00FE3DDA">
        <w:rPr>
          <w:szCs w:val="24"/>
        </w:rPr>
        <w:t xml:space="preserve"> tak technologické návaznosti.</w:t>
      </w:r>
    </w:p>
    <w:p w:rsidR="008A2B1C" w:rsidRPr="00FE3DDA" w:rsidRDefault="00A90965" w:rsidP="009C58DB">
      <w:pPr>
        <w:pStyle w:val="Standard"/>
        <w:spacing w:after="20"/>
        <w:rPr>
          <w:szCs w:val="24"/>
        </w:rPr>
      </w:pPr>
      <w:r w:rsidRPr="00FE3DDA">
        <w:rPr>
          <w:szCs w:val="24"/>
        </w:rPr>
        <w:t xml:space="preserve">V tuzemsku je </w:t>
      </w:r>
      <w:proofErr w:type="spellStart"/>
      <w:r w:rsidRPr="00FE3DDA">
        <w:rPr>
          <w:szCs w:val="24"/>
        </w:rPr>
        <w:t>VaV</w:t>
      </w:r>
      <w:proofErr w:type="spellEnd"/>
      <w:r w:rsidRPr="00FE3DDA">
        <w:rPr>
          <w:szCs w:val="24"/>
        </w:rPr>
        <w:t xml:space="preserve"> alternativních paliv roztříštěný a žádný centrální akční plán nestanovuje priority a koordinaci. Mezinárodní spolupráce je založena spíše na organizační a majetkové provázanosti nebo osobních kontaktech. Na potřebné úrovni není dosud rozvinuta ani potřebná kvalifikace pracovníků </w:t>
      </w:r>
      <w:proofErr w:type="spellStart"/>
      <w:r w:rsidRPr="00FE3DDA">
        <w:rPr>
          <w:szCs w:val="24"/>
        </w:rPr>
        <w:t>VaV</w:t>
      </w:r>
      <w:proofErr w:type="spellEnd"/>
      <w:r w:rsidRPr="00FE3DDA">
        <w:rPr>
          <w:szCs w:val="24"/>
        </w:rPr>
        <w:t>.  Zaostává dosud vybavenost moderní technikou.</w:t>
      </w:r>
    </w:p>
    <w:p w:rsidR="008A2B1C" w:rsidRPr="00FE3DDA" w:rsidRDefault="00A90965" w:rsidP="009C58DB">
      <w:pPr>
        <w:pStyle w:val="Standard"/>
        <w:rPr>
          <w:szCs w:val="24"/>
        </w:rPr>
      </w:pPr>
      <w:r w:rsidRPr="00FE3DDA">
        <w:rPr>
          <w:szCs w:val="24"/>
        </w:rPr>
        <w:t>Problematická je i oblast přenosu vyvinutých nebo převzatých technologií do výrobní praxe. Obvykle chybí zdroje na realizaci a důvěra v úspěšné uplatnění výsledků v praxi.</w:t>
      </w:r>
    </w:p>
    <w:p w:rsidR="008A2B1C" w:rsidRPr="00DC2D09" w:rsidRDefault="00A90965" w:rsidP="009C58DB">
      <w:pPr>
        <w:pStyle w:val="Standard"/>
        <w:rPr>
          <w:szCs w:val="24"/>
        </w:rPr>
      </w:pPr>
      <w:r w:rsidRPr="00DC2D09">
        <w:rPr>
          <w:szCs w:val="24"/>
        </w:rPr>
        <w:t>K</w:t>
      </w:r>
      <w:r w:rsidR="00DC2D09" w:rsidRPr="00DC2D09">
        <w:rPr>
          <w:szCs w:val="24"/>
        </w:rPr>
        <w:t>e</w:t>
      </w:r>
      <w:r w:rsidRPr="00DC2D09">
        <w:rPr>
          <w:szCs w:val="24"/>
        </w:rPr>
        <w:t> zlepšení situace lze v tuzemsku navrhnout tato opatření:</w:t>
      </w:r>
    </w:p>
    <w:p w:rsidR="008A2B1C" w:rsidRPr="00FE3DDA" w:rsidRDefault="00A90965" w:rsidP="00FD4C88">
      <w:pPr>
        <w:pStyle w:val="Standard"/>
        <w:numPr>
          <w:ilvl w:val="0"/>
          <w:numId w:val="48"/>
        </w:numPr>
        <w:ind w:left="357" w:hanging="357"/>
        <w:rPr>
          <w:szCs w:val="24"/>
        </w:rPr>
      </w:pPr>
      <w:r w:rsidRPr="00DC2D09">
        <w:rPr>
          <w:szCs w:val="24"/>
        </w:rPr>
        <w:t>stanovit c</w:t>
      </w:r>
      <w:r w:rsidRPr="00FE3DDA">
        <w:rPr>
          <w:szCs w:val="24"/>
        </w:rPr>
        <w:t xml:space="preserve">entrální útvar, který bude koordinovat </w:t>
      </w:r>
      <w:proofErr w:type="spellStart"/>
      <w:r w:rsidRPr="00FE3DDA">
        <w:rPr>
          <w:szCs w:val="24"/>
        </w:rPr>
        <w:t>VaV</w:t>
      </w:r>
      <w:proofErr w:type="spellEnd"/>
      <w:r w:rsidRPr="00FE3DDA">
        <w:rPr>
          <w:szCs w:val="24"/>
        </w:rPr>
        <w:t xml:space="preserve"> v oblasti alternativních technologií</w:t>
      </w:r>
      <w:r w:rsidR="00DC2D09">
        <w:rPr>
          <w:szCs w:val="24"/>
        </w:rPr>
        <w:t>;</w:t>
      </w:r>
    </w:p>
    <w:p w:rsidR="008A2B1C" w:rsidRPr="00FE3DDA" w:rsidRDefault="00A90965" w:rsidP="00FD4C88">
      <w:pPr>
        <w:pStyle w:val="Standard"/>
        <w:numPr>
          <w:ilvl w:val="0"/>
          <w:numId w:val="48"/>
        </w:numPr>
        <w:ind w:left="357" w:hanging="357"/>
        <w:rPr>
          <w:szCs w:val="24"/>
        </w:rPr>
      </w:pPr>
      <w:r w:rsidRPr="00FE3DDA">
        <w:rPr>
          <w:szCs w:val="24"/>
        </w:rPr>
        <w:t xml:space="preserve">do výběru vhodných témat </w:t>
      </w:r>
      <w:proofErr w:type="spellStart"/>
      <w:r w:rsidRPr="00FE3DDA">
        <w:rPr>
          <w:szCs w:val="24"/>
        </w:rPr>
        <w:t>VaV</w:t>
      </w:r>
      <w:proofErr w:type="spellEnd"/>
      <w:r w:rsidRPr="00FE3DDA">
        <w:rPr>
          <w:szCs w:val="24"/>
        </w:rPr>
        <w:t xml:space="preserve"> zainteresovat banky a investiční fondy</w:t>
      </w:r>
      <w:r w:rsidR="00DC2D09">
        <w:rPr>
          <w:szCs w:val="24"/>
        </w:rPr>
        <w:t>;</w:t>
      </w:r>
    </w:p>
    <w:p w:rsidR="00DC2D09" w:rsidRDefault="00A90965" w:rsidP="00FD4C88">
      <w:pPr>
        <w:pStyle w:val="Standard"/>
        <w:numPr>
          <w:ilvl w:val="0"/>
          <w:numId w:val="48"/>
        </w:numPr>
        <w:ind w:left="357" w:hanging="357"/>
        <w:rPr>
          <w:szCs w:val="24"/>
        </w:rPr>
      </w:pPr>
      <w:r w:rsidRPr="00FE3DDA">
        <w:rPr>
          <w:szCs w:val="24"/>
        </w:rPr>
        <w:t>zvýšit podíl činnosti odborných technologických platforem</w:t>
      </w:r>
      <w:r w:rsidR="00DC2D09">
        <w:rPr>
          <w:szCs w:val="24"/>
        </w:rPr>
        <w:t xml:space="preserve">, </w:t>
      </w:r>
      <w:r w:rsidRPr="00FE3DDA">
        <w:rPr>
          <w:szCs w:val="24"/>
        </w:rPr>
        <w:t>asociací a sdružení</w:t>
      </w:r>
      <w:r w:rsidR="00DC2D09">
        <w:rPr>
          <w:szCs w:val="24"/>
        </w:rPr>
        <w:t>;</w:t>
      </w:r>
      <w:r w:rsidR="00DC2D09">
        <w:rPr>
          <w:szCs w:val="24"/>
        </w:rPr>
        <w:br w:type="page"/>
      </w:r>
    </w:p>
    <w:p w:rsidR="008A2B1C" w:rsidRPr="00FE3DDA" w:rsidRDefault="008A2B1C" w:rsidP="009C58DB">
      <w:pPr>
        <w:pStyle w:val="Standard"/>
        <w:rPr>
          <w:szCs w:val="24"/>
        </w:rPr>
      </w:pPr>
    </w:p>
    <w:p w:rsidR="008A2B1C" w:rsidRPr="00FE3DDA" w:rsidRDefault="00A90965" w:rsidP="00FD4C88">
      <w:pPr>
        <w:pStyle w:val="Standard"/>
        <w:numPr>
          <w:ilvl w:val="0"/>
          <w:numId w:val="48"/>
        </w:numPr>
        <w:ind w:left="357" w:hanging="357"/>
        <w:rPr>
          <w:szCs w:val="24"/>
        </w:rPr>
      </w:pPr>
      <w:r w:rsidRPr="00FE3DDA">
        <w:rPr>
          <w:szCs w:val="24"/>
        </w:rPr>
        <w:t>dořešit a vybilancovat surovinovou základn</w:t>
      </w:r>
      <w:r w:rsidR="00DC2D09">
        <w:rPr>
          <w:szCs w:val="24"/>
        </w:rPr>
        <w:t>u</w:t>
      </w:r>
      <w:r w:rsidRPr="00FE3DDA">
        <w:rPr>
          <w:szCs w:val="24"/>
        </w:rPr>
        <w:t xml:space="preserve"> pro OZE, která může být pro některé </w:t>
      </w:r>
      <w:r w:rsidR="009C58DB">
        <w:rPr>
          <w:szCs w:val="24"/>
        </w:rPr>
        <w:t>t</w:t>
      </w:r>
      <w:r w:rsidRPr="00FE3DDA">
        <w:rPr>
          <w:szCs w:val="24"/>
        </w:rPr>
        <w:t>echnologie limitou</w:t>
      </w:r>
      <w:r w:rsidR="00DC2D09">
        <w:rPr>
          <w:szCs w:val="24"/>
        </w:rPr>
        <w:t>;</w:t>
      </w:r>
    </w:p>
    <w:p w:rsidR="008A2B1C" w:rsidRPr="00DC2D09" w:rsidRDefault="00A90965" w:rsidP="00FD4C88">
      <w:pPr>
        <w:pStyle w:val="Standard"/>
        <w:numPr>
          <w:ilvl w:val="0"/>
          <w:numId w:val="48"/>
        </w:numPr>
        <w:spacing w:after="60"/>
        <w:ind w:left="357" w:hanging="357"/>
        <w:rPr>
          <w:szCs w:val="24"/>
        </w:rPr>
      </w:pPr>
      <w:r w:rsidRPr="00FE3DDA">
        <w:rPr>
          <w:szCs w:val="24"/>
        </w:rPr>
        <w:t xml:space="preserve">zainteresovat investory do perspektivních témat </w:t>
      </w:r>
      <w:proofErr w:type="spellStart"/>
      <w:r w:rsidRPr="00FE3DDA">
        <w:rPr>
          <w:szCs w:val="24"/>
        </w:rPr>
        <w:t>VaV</w:t>
      </w:r>
      <w:proofErr w:type="spellEnd"/>
      <w:r w:rsidRPr="00FE3DDA">
        <w:rPr>
          <w:szCs w:val="24"/>
        </w:rPr>
        <w:t>.</w:t>
      </w:r>
    </w:p>
    <w:p w:rsidR="008A2B1C" w:rsidRPr="00FE3DDA" w:rsidRDefault="00A90965" w:rsidP="009C58DB">
      <w:pPr>
        <w:pStyle w:val="Standard"/>
        <w:rPr>
          <w:szCs w:val="24"/>
          <w:u w:val="single"/>
        </w:rPr>
      </w:pPr>
      <w:r w:rsidRPr="00FE3DDA">
        <w:rPr>
          <w:szCs w:val="24"/>
          <w:u w:val="single"/>
        </w:rPr>
        <w:t>Zapojení do národních mezinárodních výzkumných a vývojových programů</w:t>
      </w:r>
    </w:p>
    <w:p w:rsidR="008A2B1C" w:rsidRPr="00FE3DDA" w:rsidRDefault="00A90965" w:rsidP="009C58DB">
      <w:pPr>
        <w:pStyle w:val="Standard"/>
        <w:rPr>
          <w:szCs w:val="24"/>
        </w:rPr>
      </w:pPr>
      <w:r w:rsidRPr="00FE3DDA">
        <w:rPr>
          <w:szCs w:val="24"/>
        </w:rPr>
        <w:t xml:space="preserve">V současné době </w:t>
      </w:r>
      <w:r w:rsidR="007F786C">
        <w:rPr>
          <w:szCs w:val="24"/>
        </w:rPr>
        <w:t xml:space="preserve">se </w:t>
      </w:r>
      <w:r w:rsidRPr="00FE3DDA">
        <w:rPr>
          <w:szCs w:val="24"/>
        </w:rPr>
        <w:t>výzkum a vývoj využívání energie z OZE v silniční dopravě soustřeďuje do těchto organizací:</w:t>
      </w:r>
    </w:p>
    <w:p w:rsidR="00972160" w:rsidRPr="001A2FD5" w:rsidRDefault="00972160" w:rsidP="00FD4C88">
      <w:pPr>
        <w:widowControl/>
        <w:numPr>
          <w:ilvl w:val="0"/>
          <w:numId w:val="49"/>
        </w:numPr>
        <w:overflowPunct w:val="0"/>
        <w:autoSpaceDE w:val="0"/>
        <w:ind w:left="357" w:hanging="35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A2FD5">
        <w:rPr>
          <w:rFonts w:ascii="Times New Roman" w:hAnsi="Times New Roman"/>
          <w:color w:val="000000" w:themeColor="text1"/>
          <w:sz w:val="24"/>
          <w:szCs w:val="24"/>
        </w:rPr>
        <w:t>UNIPETROL výzkumně vzdělávací centrum (</w:t>
      </w:r>
      <w:proofErr w:type="spellStart"/>
      <w:r w:rsidRPr="001A2FD5">
        <w:rPr>
          <w:rFonts w:ascii="Times New Roman" w:hAnsi="Times New Roman"/>
          <w:color w:val="000000" w:themeColor="text1"/>
          <w:sz w:val="24"/>
          <w:szCs w:val="24"/>
        </w:rPr>
        <w:t>UniCRE</w:t>
      </w:r>
      <w:proofErr w:type="spellEnd"/>
      <w:r w:rsidRPr="001A2FD5">
        <w:rPr>
          <w:rFonts w:ascii="Times New Roman" w:hAnsi="Times New Roman"/>
          <w:color w:val="000000" w:themeColor="text1"/>
          <w:sz w:val="24"/>
          <w:szCs w:val="24"/>
        </w:rPr>
        <w:t>)</w:t>
      </w:r>
    </w:p>
    <w:p w:rsidR="00972160" w:rsidRPr="001A2FD5" w:rsidRDefault="00972160" w:rsidP="00FD4C88">
      <w:pPr>
        <w:widowControl/>
        <w:numPr>
          <w:ilvl w:val="0"/>
          <w:numId w:val="49"/>
        </w:numPr>
        <w:overflowPunct w:val="0"/>
        <w:autoSpaceDE w:val="0"/>
        <w:ind w:left="357" w:hanging="35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A2FD5">
        <w:rPr>
          <w:rFonts w:ascii="Times New Roman" w:hAnsi="Times New Roman"/>
          <w:color w:val="000000" w:themeColor="text1"/>
          <w:sz w:val="24"/>
          <w:szCs w:val="24"/>
        </w:rPr>
        <w:t xml:space="preserve">VŠCHT, Praha </w:t>
      </w:r>
    </w:p>
    <w:p w:rsidR="00972160" w:rsidRPr="001A2FD5" w:rsidRDefault="00972160" w:rsidP="00FD4C88">
      <w:pPr>
        <w:widowControl/>
        <w:numPr>
          <w:ilvl w:val="0"/>
          <w:numId w:val="49"/>
        </w:numPr>
        <w:overflowPunct w:val="0"/>
        <w:autoSpaceDE w:val="0"/>
        <w:ind w:left="357" w:hanging="35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A2FD5">
        <w:rPr>
          <w:rFonts w:ascii="Times New Roman" w:hAnsi="Times New Roman"/>
          <w:color w:val="000000" w:themeColor="text1"/>
          <w:sz w:val="24"/>
          <w:szCs w:val="24"/>
        </w:rPr>
        <w:t xml:space="preserve">Česká zemědělská univerzita, Praha </w:t>
      </w:r>
    </w:p>
    <w:p w:rsidR="00972160" w:rsidRPr="001A2FD5" w:rsidRDefault="00972160" w:rsidP="00FD4C88">
      <w:pPr>
        <w:widowControl/>
        <w:numPr>
          <w:ilvl w:val="0"/>
          <w:numId w:val="49"/>
        </w:numPr>
        <w:overflowPunct w:val="0"/>
        <w:autoSpaceDE w:val="0"/>
        <w:ind w:left="357" w:hanging="35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1A2FD5">
        <w:rPr>
          <w:rFonts w:ascii="Times New Roman" w:hAnsi="Times New Roman"/>
          <w:color w:val="000000" w:themeColor="text1"/>
          <w:sz w:val="24"/>
          <w:szCs w:val="24"/>
        </w:rPr>
        <w:t>Energy</w:t>
      </w:r>
      <w:proofErr w:type="spellEnd"/>
      <w:r w:rsidRPr="001A2FD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A2FD5">
        <w:rPr>
          <w:rFonts w:ascii="Times New Roman" w:hAnsi="Times New Roman"/>
          <w:color w:val="000000" w:themeColor="text1"/>
          <w:sz w:val="24"/>
          <w:szCs w:val="24"/>
        </w:rPr>
        <w:t>financial</w:t>
      </w:r>
      <w:proofErr w:type="spellEnd"/>
      <w:r w:rsidRPr="001A2FD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A2FD5">
        <w:rPr>
          <w:rFonts w:ascii="Times New Roman" w:hAnsi="Times New Roman"/>
          <w:color w:val="000000" w:themeColor="text1"/>
          <w:sz w:val="24"/>
          <w:szCs w:val="24"/>
        </w:rPr>
        <w:t>group</w:t>
      </w:r>
      <w:proofErr w:type="spellEnd"/>
      <w:r w:rsidRPr="001A2FD5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8A2B1C" w:rsidRPr="001A2FD5" w:rsidRDefault="00A90965" w:rsidP="00FD4C88">
      <w:pPr>
        <w:widowControl/>
        <w:numPr>
          <w:ilvl w:val="0"/>
          <w:numId w:val="49"/>
        </w:numPr>
        <w:overflowPunct w:val="0"/>
        <w:autoSpaceDE w:val="0"/>
        <w:ind w:left="357" w:hanging="35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A2FD5">
        <w:rPr>
          <w:rFonts w:ascii="Times New Roman" w:hAnsi="Times New Roman"/>
          <w:color w:val="000000" w:themeColor="text1"/>
          <w:sz w:val="24"/>
          <w:szCs w:val="24"/>
        </w:rPr>
        <w:t xml:space="preserve">E.ON </w:t>
      </w:r>
      <w:r w:rsidR="001A2FD5" w:rsidRPr="001A2FD5">
        <w:rPr>
          <w:rFonts w:ascii="Times New Roman" w:hAnsi="Times New Roman"/>
          <w:color w:val="000000" w:themeColor="text1"/>
          <w:sz w:val="24"/>
          <w:szCs w:val="24"/>
        </w:rPr>
        <w:t xml:space="preserve">(soutěž </w:t>
      </w:r>
      <w:proofErr w:type="spellStart"/>
      <w:r w:rsidRPr="001A2FD5">
        <w:rPr>
          <w:rFonts w:ascii="Times New Roman" w:hAnsi="Times New Roman"/>
          <w:color w:val="000000" w:themeColor="text1"/>
          <w:sz w:val="24"/>
          <w:szCs w:val="24"/>
        </w:rPr>
        <w:t>Energy</w:t>
      </w:r>
      <w:proofErr w:type="spellEnd"/>
      <w:r w:rsidRPr="001A2FD5">
        <w:rPr>
          <w:rFonts w:ascii="Times New Roman" w:hAnsi="Times New Roman"/>
          <w:color w:val="000000" w:themeColor="text1"/>
          <w:sz w:val="24"/>
          <w:szCs w:val="24"/>
        </w:rPr>
        <w:t xml:space="preserve"> Globe</w:t>
      </w:r>
      <w:r w:rsidR="001A2FD5" w:rsidRPr="001A2FD5">
        <w:rPr>
          <w:rFonts w:ascii="Times New Roman" w:hAnsi="Times New Roman"/>
          <w:color w:val="000000" w:themeColor="text1"/>
          <w:sz w:val="24"/>
          <w:szCs w:val="24"/>
        </w:rPr>
        <w:t>)</w:t>
      </w:r>
      <w:r w:rsidRPr="001A2FD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1A2FD5" w:rsidRPr="001A2FD5" w:rsidRDefault="001A2FD5" w:rsidP="00FD4C88">
      <w:pPr>
        <w:widowControl/>
        <w:numPr>
          <w:ilvl w:val="0"/>
          <w:numId w:val="49"/>
        </w:numPr>
        <w:overflowPunct w:val="0"/>
        <w:autoSpaceDE w:val="0"/>
        <w:ind w:left="357" w:hanging="35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r</w:t>
      </w:r>
      <w:r w:rsidRPr="001A2FD5">
        <w:rPr>
          <w:rFonts w:ascii="Times New Roman" w:hAnsi="Times New Roman"/>
          <w:color w:val="000000" w:themeColor="text1"/>
          <w:sz w:val="24"/>
          <w:szCs w:val="24"/>
        </w:rPr>
        <w:t>ámcový</w:t>
      </w:r>
      <w:r w:rsidRPr="001A2FD5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program pro výzkum a inovace </w:t>
      </w:r>
      <w:r w:rsidR="00A90965" w:rsidRPr="001A2FD5">
        <w:rPr>
          <w:rFonts w:ascii="Times New Roman" w:hAnsi="Times New Roman"/>
          <w:color w:val="000000" w:themeColor="text1"/>
          <w:sz w:val="24"/>
          <w:szCs w:val="24"/>
        </w:rPr>
        <w:t>HORIZON 2020</w:t>
      </w:r>
      <w:r w:rsidRPr="001A2FD5">
        <w:rPr>
          <w:rFonts w:ascii="Times New Roman" w:hAnsi="Times New Roman"/>
          <w:color w:val="000000" w:themeColor="text1"/>
          <w:sz w:val="24"/>
          <w:szCs w:val="24"/>
        </w:rPr>
        <w:t xml:space="preserve"> - </w:t>
      </w:r>
      <w:r w:rsidR="00A90965" w:rsidRPr="001A2FD5">
        <w:rPr>
          <w:rFonts w:ascii="Times New Roman" w:hAnsi="Times New Roman"/>
          <w:color w:val="000000" w:themeColor="text1"/>
          <w:sz w:val="24"/>
          <w:szCs w:val="24"/>
        </w:rPr>
        <w:t>spolupráce s</w:t>
      </w:r>
      <w:r w:rsidRPr="001A2FD5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A90965" w:rsidRPr="001A2FD5">
        <w:rPr>
          <w:rFonts w:ascii="Times New Roman" w:hAnsi="Times New Roman"/>
          <w:color w:val="000000" w:themeColor="text1"/>
          <w:sz w:val="24"/>
          <w:szCs w:val="24"/>
        </w:rPr>
        <w:t>CEN</w:t>
      </w:r>
      <w:r w:rsidRPr="001A2FD5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8A2B1C" w:rsidRPr="00666BC6" w:rsidRDefault="00A90965" w:rsidP="00FD4C88">
      <w:pPr>
        <w:pStyle w:val="Nadpis2"/>
        <w:numPr>
          <w:ilvl w:val="0"/>
          <w:numId w:val="50"/>
        </w:numPr>
        <w:tabs>
          <w:tab w:val="clear" w:pos="94"/>
          <w:tab w:val="left" w:pos="426"/>
        </w:tabs>
        <w:ind w:hanging="720"/>
        <w:rPr>
          <w:sz w:val="26"/>
        </w:rPr>
      </w:pPr>
      <w:bookmarkStart w:id="41" w:name="_Toc38019658"/>
      <w:bookmarkStart w:id="42" w:name="_Toc38019721"/>
      <w:bookmarkStart w:id="43" w:name="_Toc38023733"/>
      <w:r w:rsidRPr="00666BC6">
        <w:rPr>
          <w:sz w:val="26"/>
        </w:rPr>
        <w:t>Perspektivní technologie</w:t>
      </w:r>
      <w:r w:rsidRPr="001A2FD5">
        <w:rPr>
          <w:sz w:val="26"/>
        </w:rPr>
        <w:t xml:space="preserve"> alternativních paliv pro silniční dopravu v ČR</w:t>
      </w:r>
      <w:bookmarkEnd w:id="41"/>
      <w:bookmarkEnd w:id="42"/>
      <w:bookmarkEnd w:id="43"/>
    </w:p>
    <w:p w:rsidR="008A2B1C" w:rsidRPr="00884371" w:rsidRDefault="00A90965" w:rsidP="00FD4C88">
      <w:pPr>
        <w:pStyle w:val="Standard"/>
        <w:numPr>
          <w:ilvl w:val="0"/>
          <w:numId w:val="51"/>
        </w:numPr>
        <w:spacing w:after="20"/>
        <w:ind w:left="357" w:hanging="357"/>
        <w:rPr>
          <w:szCs w:val="24"/>
          <w:u w:val="single"/>
        </w:rPr>
      </w:pPr>
      <w:r w:rsidRPr="00884371">
        <w:rPr>
          <w:szCs w:val="24"/>
          <w:u w:val="single"/>
        </w:rPr>
        <w:t>Biometan v dopravě</w:t>
      </w:r>
    </w:p>
    <w:p w:rsidR="008A2B1C" w:rsidRPr="00FE3DDA" w:rsidRDefault="00A90965" w:rsidP="00884371">
      <w:pPr>
        <w:pStyle w:val="Standard"/>
        <w:spacing w:after="20"/>
        <w:rPr>
          <w:szCs w:val="24"/>
        </w:rPr>
      </w:pPr>
      <w:r w:rsidRPr="00FE3DDA">
        <w:rPr>
          <w:szCs w:val="24"/>
        </w:rPr>
        <w:t>Použití BNG v dopravě je založeno na využití odpadní biomasy pro výrobu energie z OZE. Jeho výhodou je, že při vysoké výhřevnosti (34 MJ/m3) má nízké emise skleníkových plynů 69,3 MJ/m3 ve srovnání s bioplynem.</w:t>
      </w:r>
    </w:p>
    <w:p w:rsidR="008A2B1C" w:rsidRPr="00FE3DDA" w:rsidRDefault="00A90965" w:rsidP="009C58DB">
      <w:pPr>
        <w:pStyle w:val="Standard"/>
        <w:rPr>
          <w:szCs w:val="24"/>
        </w:rPr>
      </w:pPr>
      <w:r w:rsidRPr="00FE3DDA">
        <w:rPr>
          <w:szCs w:val="24"/>
        </w:rPr>
        <w:t>Hlavní cesty využití bioplynu a biometanu:</w:t>
      </w:r>
    </w:p>
    <w:p w:rsidR="008A2B1C" w:rsidRPr="00FE3DDA" w:rsidRDefault="00A90965" w:rsidP="00FD4C88">
      <w:pPr>
        <w:pStyle w:val="Standard"/>
        <w:numPr>
          <w:ilvl w:val="0"/>
          <w:numId w:val="47"/>
        </w:numPr>
        <w:ind w:left="357" w:hanging="357"/>
        <w:rPr>
          <w:szCs w:val="24"/>
        </w:rPr>
      </w:pPr>
      <w:r w:rsidRPr="00FE3DDA">
        <w:rPr>
          <w:szCs w:val="24"/>
        </w:rPr>
        <w:t>výroba tepla/páry</w:t>
      </w:r>
      <w:r w:rsidR="00FD63C4">
        <w:rPr>
          <w:szCs w:val="24"/>
        </w:rPr>
        <w:t>;</w:t>
      </w:r>
    </w:p>
    <w:p w:rsidR="008A2B1C" w:rsidRPr="00FE3DDA" w:rsidRDefault="00A90965" w:rsidP="00FD4C88">
      <w:pPr>
        <w:pStyle w:val="Standard"/>
        <w:numPr>
          <w:ilvl w:val="0"/>
          <w:numId w:val="47"/>
        </w:numPr>
        <w:ind w:left="357" w:hanging="357"/>
        <w:rPr>
          <w:szCs w:val="24"/>
        </w:rPr>
      </w:pPr>
      <w:r w:rsidRPr="00FE3DDA">
        <w:rPr>
          <w:szCs w:val="24"/>
        </w:rPr>
        <w:t>výroba elektrické energie a kombinovaná výroba tepla a energie</w:t>
      </w:r>
      <w:r w:rsidR="00FD63C4">
        <w:rPr>
          <w:szCs w:val="24"/>
        </w:rPr>
        <w:t>;</w:t>
      </w:r>
    </w:p>
    <w:p w:rsidR="008A2B1C" w:rsidRPr="00FE3DDA" w:rsidRDefault="00A90965" w:rsidP="00FD4C88">
      <w:pPr>
        <w:pStyle w:val="Standard"/>
        <w:numPr>
          <w:ilvl w:val="0"/>
          <w:numId w:val="47"/>
        </w:numPr>
        <w:ind w:left="357" w:hanging="357"/>
        <w:rPr>
          <w:szCs w:val="24"/>
        </w:rPr>
      </w:pPr>
      <w:r w:rsidRPr="00FE3DDA">
        <w:rPr>
          <w:szCs w:val="24"/>
        </w:rPr>
        <w:t>náhrada za zemní plyn (vtláčení do sítě)</w:t>
      </w:r>
      <w:r w:rsidR="00FD63C4">
        <w:rPr>
          <w:szCs w:val="24"/>
        </w:rPr>
        <w:t>;</w:t>
      </w:r>
    </w:p>
    <w:p w:rsidR="008A2B1C" w:rsidRPr="00FE3DDA" w:rsidRDefault="00A90965" w:rsidP="00FD4C88">
      <w:pPr>
        <w:pStyle w:val="Standard"/>
        <w:numPr>
          <w:ilvl w:val="0"/>
          <w:numId w:val="47"/>
        </w:numPr>
        <w:ind w:left="357" w:hanging="357"/>
        <w:rPr>
          <w:szCs w:val="24"/>
        </w:rPr>
      </w:pPr>
      <w:r w:rsidRPr="00FE3DDA">
        <w:rPr>
          <w:szCs w:val="24"/>
        </w:rPr>
        <w:t>náhrada za stlačený zemní plyn a ropu (palivo pro dopravu)</w:t>
      </w:r>
      <w:r w:rsidR="00FD63C4">
        <w:rPr>
          <w:szCs w:val="24"/>
        </w:rPr>
        <w:t>;</w:t>
      </w:r>
    </w:p>
    <w:p w:rsidR="008A2B1C" w:rsidRPr="00FD63C4" w:rsidRDefault="00A90965" w:rsidP="00FD4C88">
      <w:pPr>
        <w:pStyle w:val="Standard"/>
        <w:numPr>
          <w:ilvl w:val="0"/>
          <w:numId w:val="47"/>
        </w:numPr>
        <w:spacing w:after="20"/>
        <w:ind w:left="357" w:hanging="357"/>
        <w:rPr>
          <w:szCs w:val="24"/>
        </w:rPr>
      </w:pPr>
      <w:r w:rsidRPr="00FE3DDA">
        <w:rPr>
          <w:szCs w:val="24"/>
        </w:rPr>
        <w:t>náhrada za kapalný zemní plyn (palivo pro dopravu).</w:t>
      </w:r>
    </w:p>
    <w:p w:rsidR="008A2B1C" w:rsidRPr="00FE3DDA" w:rsidRDefault="00A90965" w:rsidP="009C58DB">
      <w:pPr>
        <w:pStyle w:val="Standard"/>
        <w:spacing w:after="20"/>
        <w:rPr>
          <w:szCs w:val="24"/>
        </w:rPr>
      </w:pPr>
      <w:r w:rsidRPr="00FE3DDA">
        <w:rPr>
          <w:szCs w:val="24"/>
        </w:rPr>
        <w:t xml:space="preserve">Příspěvkem ve výši cca 15 % </w:t>
      </w:r>
      <w:proofErr w:type="spellStart"/>
      <w:r w:rsidRPr="00FE3DDA">
        <w:rPr>
          <w:szCs w:val="24"/>
        </w:rPr>
        <w:t>bioCNG</w:t>
      </w:r>
      <w:proofErr w:type="spellEnd"/>
      <w:r w:rsidRPr="00FE3DDA">
        <w:rPr>
          <w:szCs w:val="24"/>
        </w:rPr>
        <w:t xml:space="preserve"> v CNG lze oproti základu 3,4 % (2017) dosáhnout 5,6</w:t>
      </w:r>
      <w:r w:rsidR="00FD63C4">
        <w:rPr>
          <w:szCs w:val="24"/>
        </w:rPr>
        <w:t> </w:t>
      </w:r>
      <w:r w:rsidRPr="00FE3DDA">
        <w:rPr>
          <w:szCs w:val="24"/>
        </w:rPr>
        <w:t>% úspory emisí oproti referenční hodnotě 94,1 gCO2/MJ a podílu</w:t>
      </w:r>
      <w:r w:rsidR="00FD63C4">
        <w:rPr>
          <w:szCs w:val="24"/>
        </w:rPr>
        <w:t xml:space="preserve"> </w:t>
      </w:r>
      <w:r w:rsidRPr="00FE3DDA">
        <w:rPr>
          <w:szCs w:val="24"/>
        </w:rPr>
        <w:t>OZE 8,2 % oproti referenční hodnotě 6,1 %.</w:t>
      </w:r>
    </w:p>
    <w:p w:rsidR="008A2B1C" w:rsidRPr="00FE3DDA" w:rsidRDefault="00A90965" w:rsidP="009C58DB">
      <w:pPr>
        <w:pStyle w:val="Standard"/>
        <w:spacing w:after="20"/>
        <w:rPr>
          <w:szCs w:val="24"/>
        </w:rPr>
      </w:pPr>
      <w:r w:rsidRPr="00FE3DDA">
        <w:rPr>
          <w:szCs w:val="24"/>
        </w:rPr>
        <w:t xml:space="preserve">MPO vyhlásilo v září 2019 program na </w:t>
      </w:r>
      <w:r w:rsidR="00F00441">
        <w:rPr>
          <w:szCs w:val="24"/>
        </w:rPr>
        <w:t>p</w:t>
      </w:r>
      <w:r w:rsidRPr="00FE3DDA">
        <w:rPr>
          <w:szCs w:val="24"/>
        </w:rPr>
        <w:t>odporu nízkouhlíkových technologií</w:t>
      </w:r>
      <w:r w:rsidR="00F00441">
        <w:rPr>
          <w:szCs w:val="24"/>
        </w:rPr>
        <w:t xml:space="preserve"> </w:t>
      </w:r>
      <w:r w:rsidR="00F00441" w:rsidRPr="00FE3DDA">
        <w:rPr>
          <w:szCs w:val="24"/>
        </w:rPr>
        <w:t>ve výši 35 mil. Kč</w:t>
      </w:r>
      <w:r w:rsidRPr="00FE3DDA">
        <w:rPr>
          <w:szCs w:val="24"/>
        </w:rPr>
        <w:t xml:space="preserve"> zaměřený přímo na úpravu bioplynu na biometan.</w:t>
      </w:r>
    </w:p>
    <w:p w:rsidR="008A2B1C" w:rsidRPr="00FE3DDA" w:rsidRDefault="00A90965" w:rsidP="006F5F3A">
      <w:pPr>
        <w:pStyle w:val="Standard"/>
        <w:spacing w:after="20"/>
        <w:rPr>
          <w:szCs w:val="24"/>
        </w:rPr>
      </w:pPr>
      <w:r w:rsidRPr="00FE3DDA">
        <w:rPr>
          <w:szCs w:val="24"/>
        </w:rPr>
        <w:t xml:space="preserve">Automobilka SEAT se bude do roku 2023 účastnit projektu </w:t>
      </w:r>
      <w:proofErr w:type="spellStart"/>
      <w:r w:rsidRPr="00FE3DDA">
        <w:rPr>
          <w:szCs w:val="24"/>
        </w:rPr>
        <w:t>Life</w:t>
      </w:r>
      <w:proofErr w:type="spellEnd"/>
      <w:r w:rsidRPr="00FE3DDA">
        <w:rPr>
          <w:szCs w:val="24"/>
        </w:rPr>
        <w:t xml:space="preserve"> </w:t>
      </w:r>
      <w:proofErr w:type="spellStart"/>
      <w:r w:rsidRPr="00FE3DDA">
        <w:rPr>
          <w:szCs w:val="24"/>
        </w:rPr>
        <w:t>Landfill</w:t>
      </w:r>
      <w:proofErr w:type="spellEnd"/>
      <w:r w:rsidRPr="00FE3DDA">
        <w:rPr>
          <w:szCs w:val="24"/>
        </w:rPr>
        <w:t xml:space="preserve"> </w:t>
      </w:r>
      <w:proofErr w:type="spellStart"/>
      <w:r w:rsidRPr="00FE3DDA">
        <w:rPr>
          <w:szCs w:val="24"/>
        </w:rPr>
        <w:t>Biofuel</w:t>
      </w:r>
      <w:proofErr w:type="spellEnd"/>
      <w:r w:rsidR="00F00441">
        <w:rPr>
          <w:szCs w:val="24"/>
        </w:rPr>
        <w:t>,</w:t>
      </w:r>
      <w:r w:rsidRPr="00FE3DDA">
        <w:rPr>
          <w:szCs w:val="24"/>
        </w:rPr>
        <w:t xml:space="preserve"> schvál</w:t>
      </w:r>
      <w:r w:rsidR="00F00441">
        <w:rPr>
          <w:szCs w:val="24"/>
        </w:rPr>
        <w:t>e</w:t>
      </w:r>
      <w:r w:rsidRPr="00FE3DDA">
        <w:rPr>
          <w:szCs w:val="24"/>
        </w:rPr>
        <w:t>ného</w:t>
      </w:r>
      <w:r w:rsidR="00807EB9">
        <w:rPr>
          <w:szCs w:val="24"/>
        </w:rPr>
        <w:t> </w:t>
      </w:r>
      <w:r w:rsidRPr="00FE3DDA">
        <w:rPr>
          <w:szCs w:val="24"/>
        </w:rPr>
        <w:t>EK. Cílem projektu je v provozním měřítku vyrábět BNG z obnovitelných zdrojů a</w:t>
      </w:r>
      <w:r w:rsidR="00F00441">
        <w:rPr>
          <w:szCs w:val="24"/>
        </w:rPr>
        <w:t> </w:t>
      </w:r>
      <w:r w:rsidRPr="00FE3DDA">
        <w:rPr>
          <w:szCs w:val="24"/>
        </w:rPr>
        <w:t>komunálního odpadu v kvalitě pohonné hmoty pro automobily</w:t>
      </w:r>
      <w:r w:rsidR="00F00441">
        <w:rPr>
          <w:szCs w:val="24"/>
        </w:rPr>
        <w:t>.</w:t>
      </w:r>
    </w:p>
    <w:p w:rsidR="008A2B1C" w:rsidRPr="00E44A09" w:rsidRDefault="00A90965" w:rsidP="009C58DB">
      <w:pPr>
        <w:pStyle w:val="Standard"/>
        <w:spacing w:after="20"/>
        <w:rPr>
          <w:i/>
          <w:iCs/>
          <w:szCs w:val="24"/>
        </w:rPr>
      </w:pPr>
      <w:r w:rsidRPr="00E44A09">
        <w:rPr>
          <w:i/>
          <w:iCs/>
          <w:szCs w:val="24"/>
        </w:rPr>
        <w:t>Postup realizace projektu v</w:t>
      </w:r>
      <w:r w:rsidR="0083428E" w:rsidRPr="00E44A09">
        <w:rPr>
          <w:i/>
          <w:iCs/>
          <w:szCs w:val="24"/>
        </w:rPr>
        <w:t> </w:t>
      </w:r>
      <w:r w:rsidRPr="00E44A09">
        <w:rPr>
          <w:i/>
          <w:iCs/>
          <w:szCs w:val="24"/>
        </w:rPr>
        <w:t>ČR</w:t>
      </w:r>
    </w:p>
    <w:p w:rsidR="008A2B1C" w:rsidRPr="00FE3DDA" w:rsidRDefault="00A90965" w:rsidP="009C58DB">
      <w:pPr>
        <w:pStyle w:val="Standard"/>
        <w:spacing w:after="20"/>
        <w:rPr>
          <w:szCs w:val="24"/>
        </w:rPr>
      </w:pPr>
      <w:r w:rsidRPr="00FE3DDA">
        <w:rPr>
          <w:szCs w:val="24"/>
        </w:rPr>
        <w:t xml:space="preserve">V říjnu </w:t>
      </w:r>
      <w:r w:rsidR="0083428E">
        <w:rPr>
          <w:szCs w:val="24"/>
        </w:rPr>
        <w:t>2019</w:t>
      </w:r>
      <w:r w:rsidRPr="00FE3DDA">
        <w:rPr>
          <w:szCs w:val="24"/>
        </w:rPr>
        <w:t xml:space="preserve"> byl zahájen v Energetickém centru recyklace Rapotín provoz první bioplynové stanice pro výrobu biometanu. ECR zároveň získalo certifikaci udržitelnosti ISCC EU. ECR je projektem investiční skupiny </w:t>
      </w:r>
      <w:proofErr w:type="spellStart"/>
      <w:r w:rsidRPr="00FE3DDA">
        <w:rPr>
          <w:szCs w:val="24"/>
        </w:rPr>
        <w:t>Energy</w:t>
      </w:r>
      <w:proofErr w:type="spellEnd"/>
      <w:r w:rsidRPr="00FE3DDA">
        <w:rPr>
          <w:szCs w:val="24"/>
        </w:rPr>
        <w:t xml:space="preserve"> </w:t>
      </w:r>
      <w:proofErr w:type="spellStart"/>
      <w:r w:rsidRPr="00FE3DDA">
        <w:rPr>
          <w:szCs w:val="24"/>
        </w:rPr>
        <w:t>financial</w:t>
      </w:r>
      <w:proofErr w:type="spellEnd"/>
      <w:r w:rsidRPr="00FE3DDA">
        <w:rPr>
          <w:szCs w:val="24"/>
        </w:rPr>
        <w:t xml:space="preserve"> </w:t>
      </w:r>
      <w:proofErr w:type="spellStart"/>
      <w:r w:rsidRPr="00FE3DDA">
        <w:rPr>
          <w:szCs w:val="24"/>
        </w:rPr>
        <w:t>group</w:t>
      </w:r>
      <w:proofErr w:type="spellEnd"/>
      <w:r w:rsidRPr="00FE3DDA">
        <w:rPr>
          <w:szCs w:val="24"/>
        </w:rPr>
        <w:t>. Vyrobený bioplyn se v současné době prostřednictvím kogenerační jednotky využívá pro výrobu bezemisní elektřiny a tepla. Kapacita pracování biologicky rozložitelného odpadu je cca 30 000 tun/rok.</w:t>
      </w:r>
    </w:p>
    <w:p w:rsidR="009C58DB" w:rsidRDefault="009C58DB" w:rsidP="00DD48BF">
      <w:pPr>
        <w:pStyle w:val="Standard"/>
        <w:spacing w:after="60"/>
        <w:rPr>
          <w:szCs w:val="24"/>
        </w:rPr>
      </w:pPr>
      <w:r w:rsidRPr="009C58DB">
        <w:rPr>
          <w:szCs w:val="24"/>
        </w:rPr>
        <w:t xml:space="preserve">V pilotním projektu se v Brně ověřuje možnost využití úpravy bioplynu z čistírny odpadních vod v Brně-Modřicích na biometan pro pohon městských autobusů. </w:t>
      </w:r>
    </w:p>
    <w:p w:rsidR="008A2B1C" w:rsidRPr="0049701B" w:rsidRDefault="00A90965" w:rsidP="00FD63C4">
      <w:pPr>
        <w:pStyle w:val="Standard"/>
        <w:spacing w:after="20"/>
        <w:rPr>
          <w:i/>
          <w:iCs/>
          <w:szCs w:val="24"/>
        </w:rPr>
      </w:pPr>
      <w:r w:rsidRPr="0049701B">
        <w:rPr>
          <w:i/>
          <w:iCs/>
          <w:szCs w:val="24"/>
        </w:rPr>
        <w:t>Odhad doby a nákladů na řešení projektu</w:t>
      </w:r>
    </w:p>
    <w:p w:rsidR="008A2B1C" w:rsidRPr="00FE3DDA" w:rsidRDefault="00A90965" w:rsidP="00FD63C4">
      <w:pPr>
        <w:pStyle w:val="Standard"/>
        <w:spacing w:after="20"/>
        <w:rPr>
          <w:szCs w:val="24"/>
        </w:rPr>
      </w:pPr>
      <w:r w:rsidRPr="00FE3DDA">
        <w:rPr>
          <w:szCs w:val="24"/>
        </w:rPr>
        <w:t>Investiční náklady vybudování čištění bioplynu na kvalitu biometanu pro pohon jsou cca 2 až 6 mil.</w:t>
      </w:r>
      <w:r w:rsidR="0049701B">
        <w:rPr>
          <w:szCs w:val="24"/>
        </w:rPr>
        <w:t xml:space="preserve"> </w:t>
      </w:r>
      <w:r w:rsidRPr="00FE3DDA">
        <w:rPr>
          <w:szCs w:val="24"/>
        </w:rPr>
        <w:t xml:space="preserve">Kč podle kapacity. Doba realizace v případě stavebnicového sytému je 6 až 12 měsíců.  </w:t>
      </w:r>
    </w:p>
    <w:p w:rsidR="00DD48BF" w:rsidRPr="00DD48BF" w:rsidRDefault="00A90965" w:rsidP="00DD48BF">
      <w:pPr>
        <w:pStyle w:val="Standard"/>
        <w:spacing w:after="60"/>
        <w:rPr>
          <w:szCs w:val="24"/>
        </w:rPr>
      </w:pPr>
      <w:r w:rsidRPr="00FE3DDA">
        <w:rPr>
          <w:szCs w:val="24"/>
        </w:rPr>
        <w:t>Nejnákladnější část</w:t>
      </w:r>
      <w:r w:rsidR="0049701B">
        <w:rPr>
          <w:szCs w:val="24"/>
        </w:rPr>
        <w:t>í</w:t>
      </w:r>
      <w:r w:rsidRPr="00FE3DDA">
        <w:rPr>
          <w:szCs w:val="24"/>
        </w:rPr>
        <w:t xml:space="preserve"> projektu je vybudování sítě pro dopravu biometanu do centrálního rozvodu</w:t>
      </w:r>
      <w:r w:rsidR="0049701B">
        <w:rPr>
          <w:szCs w:val="24"/>
        </w:rPr>
        <w:t xml:space="preserve"> </w:t>
      </w:r>
      <w:r w:rsidRPr="00FE3DDA">
        <w:rPr>
          <w:szCs w:val="24"/>
        </w:rPr>
        <w:t>CNG. Náklady a doba realizace se odvíjí od rozsahu projektu.</w:t>
      </w:r>
      <w:r w:rsidR="00DD48BF">
        <w:rPr>
          <w:szCs w:val="24"/>
          <w:u w:val="single"/>
        </w:rPr>
        <w:br w:type="page"/>
      </w:r>
    </w:p>
    <w:p w:rsidR="00DD48BF" w:rsidRDefault="00DD48BF" w:rsidP="00DD48BF">
      <w:pPr>
        <w:pStyle w:val="Standard"/>
        <w:spacing w:after="20"/>
        <w:rPr>
          <w:szCs w:val="24"/>
          <w:u w:val="single"/>
        </w:rPr>
      </w:pPr>
    </w:p>
    <w:p w:rsidR="008A2B1C" w:rsidRPr="0049701B" w:rsidRDefault="00A90965" w:rsidP="00FD4C88">
      <w:pPr>
        <w:pStyle w:val="Standard"/>
        <w:numPr>
          <w:ilvl w:val="0"/>
          <w:numId w:val="51"/>
        </w:numPr>
        <w:spacing w:after="20"/>
        <w:ind w:left="357" w:hanging="357"/>
        <w:rPr>
          <w:szCs w:val="24"/>
          <w:u w:val="single"/>
        </w:rPr>
      </w:pPr>
      <w:r w:rsidRPr="0049701B">
        <w:rPr>
          <w:szCs w:val="24"/>
          <w:u w:val="single"/>
        </w:rPr>
        <w:t>Hyd</w:t>
      </w:r>
      <w:r w:rsidR="0049701B">
        <w:rPr>
          <w:szCs w:val="24"/>
          <w:u w:val="single"/>
        </w:rPr>
        <w:t>r</w:t>
      </w:r>
      <w:r w:rsidRPr="0049701B">
        <w:rPr>
          <w:szCs w:val="24"/>
          <w:u w:val="single"/>
        </w:rPr>
        <w:t>ogenované rostlinné oleje</w:t>
      </w:r>
    </w:p>
    <w:p w:rsidR="008A2B1C" w:rsidRPr="00FE3DDA" w:rsidRDefault="00A90965" w:rsidP="006F5F3A">
      <w:pPr>
        <w:pStyle w:val="Standard"/>
        <w:spacing w:after="20"/>
        <w:rPr>
          <w:szCs w:val="24"/>
        </w:rPr>
      </w:pPr>
      <w:r w:rsidRPr="00FE3DDA">
        <w:rPr>
          <w:szCs w:val="24"/>
        </w:rPr>
        <w:t xml:space="preserve">Přínosy použití HVO pro plnění cílů RED II jsou jednak v náhradě fosilní energie energií z OZE a </w:t>
      </w:r>
      <w:r w:rsidR="0049701B">
        <w:rPr>
          <w:szCs w:val="24"/>
        </w:rPr>
        <w:t xml:space="preserve">jednak ve </w:t>
      </w:r>
      <w:r w:rsidRPr="00FE3DDA">
        <w:rPr>
          <w:szCs w:val="24"/>
        </w:rPr>
        <w:t>snížení emisí skleníkových plynů ze spalování silničních paliv</w:t>
      </w:r>
      <w:r w:rsidR="0049701B">
        <w:rPr>
          <w:szCs w:val="24"/>
        </w:rPr>
        <w:t>.</w:t>
      </w:r>
    </w:p>
    <w:p w:rsidR="008A2B1C" w:rsidRPr="00FE3DDA" w:rsidRDefault="00A90965" w:rsidP="006F5F3A">
      <w:pPr>
        <w:pStyle w:val="Standard"/>
        <w:spacing w:after="20"/>
        <w:rPr>
          <w:szCs w:val="24"/>
        </w:rPr>
      </w:pPr>
      <w:r w:rsidRPr="00FE3DDA">
        <w:rPr>
          <w:szCs w:val="24"/>
        </w:rPr>
        <w:t xml:space="preserve">Při prakticky stejné výhřevnosti HVO a motorové nafty má HVO nižší standardní emise skleníkových plynů (HVO 55 g CO2 </w:t>
      </w:r>
      <w:proofErr w:type="spellStart"/>
      <w:r w:rsidRPr="00FE3DDA">
        <w:rPr>
          <w:szCs w:val="24"/>
        </w:rPr>
        <w:t>ekv</w:t>
      </w:r>
      <w:proofErr w:type="spellEnd"/>
      <w:r w:rsidRPr="00FE3DDA">
        <w:rPr>
          <w:szCs w:val="24"/>
        </w:rPr>
        <w:t>/MJ a motorová nafta 95,1 g CO2ekv/MJ)</w:t>
      </w:r>
      <w:r w:rsidR="0049701B">
        <w:rPr>
          <w:szCs w:val="24"/>
        </w:rPr>
        <w:t>.</w:t>
      </w:r>
    </w:p>
    <w:p w:rsidR="008A2B1C" w:rsidRPr="00FE3DDA" w:rsidRDefault="00A90965" w:rsidP="006F5F3A">
      <w:pPr>
        <w:pStyle w:val="Standard"/>
        <w:spacing w:after="20"/>
        <w:rPr>
          <w:szCs w:val="24"/>
        </w:rPr>
      </w:pPr>
      <w:r w:rsidRPr="00FE3DDA">
        <w:rPr>
          <w:szCs w:val="24"/>
        </w:rPr>
        <w:t xml:space="preserve">HVO lze v motorové naftě nahradit až 30 % hmot.  fosilní složky, ale použitý objem HVO je závislý na hustotě nafty  </w:t>
      </w:r>
    </w:p>
    <w:p w:rsidR="008A2B1C" w:rsidRPr="00FE3DDA" w:rsidRDefault="00A90965" w:rsidP="006F5F3A">
      <w:pPr>
        <w:pStyle w:val="Standard"/>
        <w:spacing w:after="20"/>
        <w:rPr>
          <w:szCs w:val="24"/>
        </w:rPr>
      </w:pPr>
      <w:r w:rsidRPr="00FE3DDA">
        <w:rPr>
          <w:szCs w:val="24"/>
        </w:rPr>
        <w:t xml:space="preserve">HVO je velmi dobře mísitelné s motorovou naftou dle ČSN EN 590 a výrazně zlepšuje užitné a ekologické vlastnosti </w:t>
      </w:r>
      <w:r w:rsidR="000832D7">
        <w:rPr>
          <w:szCs w:val="24"/>
        </w:rPr>
        <w:t>d</w:t>
      </w:r>
      <w:r w:rsidRPr="00FE3DDA">
        <w:rPr>
          <w:szCs w:val="24"/>
        </w:rPr>
        <w:t>ieselového paliva, zejména zimní vlastnosti</w:t>
      </w:r>
      <w:r w:rsidR="000832D7">
        <w:rPr>
          <w:szCs w:val="24"/>
        </w:rPr>
        <w:t>.</w:t>
      </w:r>
    </w:p>
    <w:p w:rsidR="008A2B1C" w:rsidRPr="00FE3DDA" w:rsidRDefault="00A90965" w:rsidP="006F5F3A">
      <w:pPr>
        <w:pStyle w:val="Standard"/>
        <w:spacing w:after="20"/>
        <w:rPr>
          <w:szCs w:val="24"/>
        </w:rPr>
      </w:pPr>
      <w:r w:rsidRPr="00FE3DDA">
        <w:rPr>
          <w:szCs w:val="24"/>
        </w:rPr>
        <w:t>Vedlejšími produkty jsou ropné plyny</w:t>
      </w:r>
      <w:r w:rsidR="000832D7">
        <w:rPr>
          <w:szCs w:val="24"/>
        </w:rPr>
        <w:t>,</w:t>
      </w:r>
      <w:r w:rsidRPr="00FE3DDA">
        <w:rPr>
          <w:szCs w:val="24"/>
        </w:rPr>
        <w:t xml:space="preserve"> zejména propan, </w:t>
      </w:r>
      <w:proofErr w:type="spellStart"/>
      <w:r w:rsidRPr="00FE3DDA">
        <w:rPr>
          <w:szCs w:val="24"/>
        </w:rPr>
        <w:t>biobenzin</w:t>
      </w:r>
      <w:proofErr w:type="spellEnd"/>
      <w:r w:rsidRPr="00FE3DDA">
        <w:rPr>
          <w:szCs w:val="24"/>
        </w:rPr>
        <w:t xml:space="preserve"> a </w:t>
      </w:r>
      <w:proofErr w:type="spellStart"/>
      <w:r w:rsidRPr="00FE3DDA">
        <w:rPr>
          <w:szCs w:val="24"/>
        </w:rPr>
        <w:t>bioLPG</w:t>
      </w:r>
      <w:proofErr w:type="spellEnd"/>
      <w:r w:rsidRPr="00FE3DDA">
        <w:rPr>
          <w:szCs w:val="24"/>
        </w:rPr>
        <w:t>. Produkty lze z pohledu legislativy RED II považovat za vyspělá biopaliva</w:t>
      </w:r>
      <w:r w:rsidR="00850403">
        <w:rPr>
          <w:szCs w:val="24"/>
        </w:rPr>
        <w:t>,</w:t>
      </w:r>
      <w:r w:rsidRPr="00FE3DDA">
        <w:rPr>
          <w:szCs w:val="24"/>
        </w:rPr>
        <w:t xml:space="preserve"> jimiž lze plnit cíle RED II.</w:t>
      </w:r>
    </w:p>
    <w:p w:rsidR="008A2B1C" w:rsidRPr="00FE3DDA" w:rsidRDefault="00A90965" w:rsidP="006F5F3A">
      <w:pPr>
        <w:pStyle w:val="Standard"/>
        <w:spacing w:after="20"/>
        <w:rPr>
          <w:szCs w:val="24"/>
        </w:rPr>
      </w:pPr>
      <w:r w:rsidRPr="00FE3DDA">
        <w:rPr>
          <w:szCs w:val="24"/>
        </w:rPr>
        <w:t>Míra vlivu použití HVO na splnění cílů náhrady fosilní energie energií z OZE a snížení emisí je závislá na technických možnostech nahradit fosilní energii energií obsaženou v HVO. Míra použití je dána jednak technickými normami, objemem výroby a ekonomikou výroby paliv. Přičemž oproti současnému stavu lze maximálně uplatnit v motorové naftě 30</w:t>
      </w:r>
      <w:r w:rsidR="00AD4D10">
        <w:rPr>
          <w:szCs w:val="24"/>
        </w:rPr>
        <w:t> </w:t>
      </w:r>
      <w:r w:rsidRPr="00FE3DDA">
        <w:rPr>
          <w:szCs w:val="24"/>
        </w:rPr>
        <w:t>% V/V HVO. Při uplatnění 30</w:t>
      </w:r>
      <w:r w:rsidR="00AD4D10">
        <w:rPr>
          <w:szCs w:val="24"/>
        </w:rPr>
        <w:t> </w:t>
      </w:r>
      <w:r w:rsidRPr="00FE3DDA">
        <w:rPr>
          <w:szCs w:val="24"/>
        </w:rPr>
        <w:t xml:space="preserve">% v celém objemu prodané nafty (2018) lze dosáhnout snížení emisí o 6,1 % proti ekvivalentu (stav v roce 2018 snížení o 3,4 %) a náhrady fosilní složky nafty z 10,5 % (stav </w:t>
      </w:r>
      <w:r w:rsidR="00AD4D10" w:rsidRPr="00FE3DDA">
        <w:rPr>
          <w:szCs w:val="24"/>
        </w:rPr>
        <w:t>6,6</w:t>
      </w:r>
      <w:r w:rsidR="00AD4D10">
        <w:rPr>
          <w:szCs w:val="24"/>
        </w:rPr>
        <w:t> </w:t>
      </w:r>
      <w:r w:rsidR="00AD4D10" w:rsidRPr="00FE3DDA">
        <w:rPr>
          <w:szCs w:val="24"/>
        </w:rPr>
        <w:t>%</w:t>
      </w:r>
      <w:r w:rsidR="00AD4D10">
        <w:rPr>
          <w:szCs w:val="24"/>
        </w:rPr>
        <w:t xml:space="preserve"> </w:t>
      </w:r>
      <w:r w:rsidRPr="00FE3DDA">
        <w:rPr>
          <w:szCs w:val="24"/>
        </w:rPr>
        <w:t>v roce 2018).</w:t>
      </w:r>
    </w:p>
    <w:p w:rsidR="008A2B1C" w:rsidRPr="00FE3DDA" w:rsidRDefault="00A90965" w:rsidP="006F5F3A">
      <w:pPr>
        <w:pStyle w:val="Standard"/>
        <w:spacing w:after="20"/>
        <w:rPr>
          <w:szCs w:val="24"/>
        </w:rPr>
      </w:pPr>
      <w:r w:rsidRPr="00FE3DDA">
        <w:rPr>
          <w:szCs w:val="24"/>
        </w:rPr>
        <w:t>Dalším pozitivním dopadem je výroba motorové nafty lepších ekologických parametrů (nulový obsah síry a aromátů) a výrazné zlepšení užitných vlastností, zejména zimních vlastností.</w:t>
      </w:r>
    </w:p>
    <w:p w:rsidR="008A2B1C" w:rsidRPr="006F5F3A" w:rsidRDefault="00A90965" w:rsidP="006F5F3A">
      <w:pPr>
        <w:pStyle w:val="Standard"/>
        <w:spacing w:after="20"/>
        <w:rPr>
          <w:i/>
          <w:iCs/>
          <w:szCs w:val="24"/>
        </w:rPr>
      </w:pPr>
      <w:r w:rsidRPr="006F5F3A">
        <w:rPr>
          <w:i/>
          <w:iCs/>
          <w:szCs w:val="24"/>
        </w:rPr>
        <w:t>Postup realizace projektu v ČR</w:t>
      </w:r>
    </w:p>
    <w:p w:rsidR="008A2B1C" w:rsidRPr="00FE3DDA" w:rsidRDefault="00A90965" w:rsidP="006F5F3A">
      <w:pPr>
        <w:pStyle w:val="Standard"/>
        <w:spacing w:after="20"/>
        <w:rPr>
          <w:szCs w:val="24"/>
        </w:rPr>
      </w:pPr>
      <w:r w:rsidRPr="00FE3DDA">
        <w:rPr>
          <w:szCs w:val="24"/>
        </w:rPr>
        <w:t xml:space="preserve">V ČR byl zatím </w:t>
      </w:r>
      <w:r w:rsidR="00647B7C" w:rsidRPr="00FE3DDA">
        <w:rPr>
          <w:szCs w:val="24"/>
        </w:rPr>
        <w:t xml:space="preserve">v </w:t>
      </w:r>
      <w:r w:rsidR="00647B7C">
        <w:rPr>
          <w:szCs w:val="24"/>
        </w:rPr>
        <w:t>letech</w:t>
      </w:r>
      <w:r w:rsidR="00647B7C" w:rsidRPr="00FE3DDA">
        <w:rPr>
          <w:szCs w:val="24"/>
        </w:rPr>
        <w:t xml:space="preserve"> 2016 a 2018</w:t>
      </w:r>
      <w:r w:rsidR="00647B7C">
        <w:rPr>
          <w:szCs w:val="24"/>
        </w:rPr>
        <w:t xml:space="preserve"> </w:t>
      </w:r>
      <w:r w:rsidRPr="00FE3DDA">
        <w:rPr>
          <w:szCs w:val="24"/>
        </w:rPr>
        <w:t>uskutečněn pilotní projekt</w:t>
      </w:r>
      <w:r w:rsidR="00647B7C">
        <w:rPr>
          <w:szCs w:val="24"/>
        </w:rPr>
        <w:t xml:space="preserve"> </w:t>
      </w:r>
      <w:r w:rsidRPr="00FE3DDA">
        <w:rPr>
          <w:szCs w:val="24"/>
        </w:rPr>
        <w:t>výroby HVO na bázi dovezeného UCO v rafin</w:t>
      </w:r>
      <w:r w:rsidR="00647B7C">
        <w:rPr>
          <w:szCs w:val="24"/>
        </w:rPr>
        <w:t>é</w:t>
      </w:r>
      <w:r w:rsidRPr="00FE3DDA">
        <w:rPr>
          <w:szCs w:val="24"/>
        </w:rPr>
        <w:t>rii Litvínov. Projekt ověřil možnost výroby HVO na stávajícím zařízení rafinérie technologickým procesem co-</w:t>
      </w:r>
      <w:proofErr w:type="spellStart"/>
      <w:r w:rsidRPr="00FE3DDA">
        <w:rPr>
          <w:szCs w:val="24"/>
        </w:rPr>
        <w:t>processing</w:t>
      </w:r>
      <w:proofErr w:type="spellEnd"/>
      <w:r w:rsidRPr="00FE3DDA">
        <w:rPr>
          <w:szCs w:val="24"/>
        </w:rPr>
        <w:t>.</w:t>
      </w:r>
    </w:p>
    <w:p w:rsidR="008A2B1C" w:rsidRPr="00FE3DDA" w:rsidRDefault="00A90965" w:rsidP="006F5F3A">
      <w:pPr>
        <w:pStyle w:val="Standard"/>
        <w:spacing w:after="20"/>
        <w:rPr>
          <w:szCs w:val="24"/>
        </w:rPr>
      </w:pPr>
      <w:r w:rsidRPr="00FE3DDA">
        <w:rPr>
          <w:szCs w:val="24"/>
        </w:rPr>
        <w:t>ČR má s ohledem na volné rafinérské hydrogenační kapacity a zdroje vodíku z petrochemických procesů reálnou možnost realizovat komerční výrobu HVO, nejlépe co-</w:t>
      </w:r>
      <w:proofErr w:type="spellStart"/>
      <w:r w:rsidRPr="00FE3DDA">
        <w:rPr>
          <w:szCs w:val="24"/>
        </w:rPr>
        <w:t>processingem</w:t>
      </w:r>
      <w:proofErr w:type="spellEnd"/>
      <w:r w:rsidRPr="00FE3DDA">
        <w:rPr>
          <w:szCs w:val="24"/>
        </w:rPr>
        <w:t xml:space="preserve"> s plynovými oleji jako komponenty pro motorovou naftu. Problémem může být zajištění suroviny pro výrobu HVO z domácích zdrojů. Realizovatelnost komerční jednotky může být směrována do rafinérie Litvínov nebo i rafinérie PARAMO (má nezávislou jednotku na výrobu vodíku ze zemního plynu).</w:t>
      </w:r>
    </w:p>
    <w:p w:rsidR="008A2B1C" w:rsidRPr="00FE3DDA" w:rsidRDefault="00A90965" w:rsidP="006F5F3A">
      <w:pPr>
        <w:pStyle w:val="Standard"/>
        <w:spacing w:after="20"/>
        <w:rPr>
          <w:szCs w:val="24"/>
        </w:rPr>
      </w:pPr>
      <w:r w:rsidRPr="00FE3DDA">
        <w:rPr>
          <w:szCs w:val="24"/>
        </w:rPr>
        <w:t>V období 2020 až 2022 se plánují další pilotní zkoušky a úprava a doplnění skladové kapacity.</w:t>
      </w:r>
    </w:p>
    <w:p w:rsidR="008A2B1C" w:rsidRPr="00FE3DDA" w:rsidRDefault="00A90965" w:rsidP="006F5F3A">
      <w:pPr>
        <w:pStyle w:val="Standard"/>
        <w:spacing w:after="20"/>
        <w:rPr>
          <w:szCs w:val="24"/>
        </w:rPr>
      </w:pPr>
      <w:r w:rsidRPr="00FE3DDA">
        <w:rPr>
          <w:szCs w:val="24"/>
        </w:rPr>
        <w:t>Zahájení komerční výroby HVO v rafinérii Litvínov se předpokládá v roce 2023.</w:t>
      </w:r>
    </w:p>
    <w:p w:rsidR="008A2B1C" w:rsidRPr="00FE3DDA" w:rsidRDefault="00A90965" w:rsidP="006F5F3A">
      <w:pPr>
        <w:pStyle w:val="Standard"/>
        <w:spacing w:after="20"/>
        <w:rPr>
          <w:szCs w:val="24"/>
        </w:rPr>
      </w:pPr>
      <w:r w:rsidRPr="00FE3DDA">
        <w:rPr>
          <w:szCs w:val="24"/>
        </w:rPr>
        <w:t>V Evropě je technologie výroby HVO využívána v řadě rafinérií jako např. finské společností NESTE OY</w:t>
      </w:r>
      <w:r w:rsidR="00816B6F">
        <w:rPr>
          <w:szCs w:val="24"/>
        </w:rPr>
        <w:t>J</w:t>
      </w:r>
      <w:r w:rsidRPr="00FE3DDA">
        <w:rPr>
          <w:szCs w:val="24"/>
        </w:rPr>
        <w:t xml:space="preserve"> a francouzské společnosti TOTAL, která uvedla do provozu v</w:t>
      </w:r>
      <w:r w:rsidR="00816B6F">
        <w:rPr>
          <w:szCs w:val="24"/>
        </w:rPr>
        <w:t xml:space="preserve"> červenci </w:t>
      </w:r>
      <w:r w:rsidRPr="00FE3DDA">
        <w:rPr>
          <w:szCs w:val="24"/>
        </w:rPr>
        <w:t>2019</w:t>
      </w:r>
      <w:r w:rsidR="00816B6F">
        <w:rPr>
          <w:szCs w:val="24"/>
        </w:rPr>
        <w:t xml:space="preserve"> </w:t>
      </w:r>
      <w:proofErr w:type="spellStart"/>
      <w:r w:rsidRPr="00FE3DDA">
        <w:rPr>
          <w:szCs w:val="24"/>
        </w:rPr>
        <w:t>biorafin</w:t>
      </w:r>
      <w:r w:rsidR="00816B6F">
        <w:rPr>
          <w:szCs w:val="24"/>
        </w:rPr>
        <w:t>é</w:t>
      </w:r>
      <w:r w:rsidRPr="00FE3DDA">
        <w:rPr>
          <w:szCs w:val="24"/>
        </w:rPr>
        <w:t>rii</w:t>
      </w:r>
      <w:proofErr w:type="spellEnd"/>
      <w:r w:rsidRPr="00FE3DDA">
        <w:rPr>
          <w:szCs w:val="24"/>
        </w:rPr>
        <w:t xml:space="preserve"> v </w:t>
      </w:r>
      <w:r w:rsidR="00816B6F" w:rsidRPr="00816B6F">
        <w:rPr>
          <w:szCs w:val="24"/>
        </w:rPr>
        <w:t xml:space="preserve">La </w:t>
      </w:r>
      <w:proofErr w:type="spellStart"/>
      <w:r w:rsidR="00816B6F" w:rsidRPr="00816B6F">
        <w:rPr>
          <w:szCs w:val="24"/>
        </w:rPr>
        <w:t>Mède</w:t>
      </w:r>
      <w:proofErr w:type="spellEnd"/>
      <w:r w:rsidRPr="00FE3DDA">
        <w:rPr>
          <w:szCs w:val="24"/>
        </w:rPr>
        <w:t>. Celková kapacita HVO v Evropě má v roce 2020 dosáhnout asi 3,45</w:t>
      </w:r>
      <w:r w:rsidR="00816B6F">
        <w:rPr>
          <w:szCs w:val="24"/>
        </w:rPr>
        <w:t> </w:t>
      </w:r>
      <w:r w:rsidRPr="00FE3DDA">
        <w:rPr>
          <w:szCs w:val="24"/>
        </w:rPr>
        <w:t>mil. tun/rok.</w:t>
      </w:r>
    </w:p>
    <w:p w:rsidR="008A2B1C" w:rsidRPr="00816B6F" w:rsidRDefault="00A90965" w:rsidP="006F5F3A">
      <w:pPr>
        <w:pStyle w:val="Standard"/>
        <w:spacing w:after="20"/>
        <w:rPr>
          <w:i/>
          <w:iCs/>
          <w:szCs w:val="24"/>
        </w:rPr>
      </w:pPr>
      <w:r w:rsidRPr="00816B6F">
        <w:rPr>
          <w:i/>
          <w:iCs/>
          <w:szCs w:val="24"/>
        </w:rPr>
        <w:t>Odhad doby a nákladů na řešení</w:t>
      </w:r>
    </w:p>
    <w:p w:rsidR="008A2B1C" w:rsidRPr="0022318C" w:rsidRDefault="00A90965" w:rsidP="0022318C">
      <w:pPr>
        <w:pStyle w:val="Standard"/>
        <w:spacing w:after="60"/>
        <w:rPr>
          <w:szCs w:val="24"/>
        </w:rPr>
      </w:pPr>
      <w:r w:rsidRPr="00FE3DDA">
        <w:rPr>
          <w:szCs w:val="24"/>
        </w:rPr>
        <w:t xml:space="preserve">Doba náběhu komerční výroby </w:t>
      </w:r>
      <w:r w:rsidR="00816B6F">
        <w:rPr>
          <w:szCs w:val="24"/>
        </w:rPr>
        <w:t>je zhruba</w:t>
      </w:r>
      <w:r w:rsidRPr="00FE3DDA">
        <w:rPr>
          <w:szCs w:val="24"/>
        </w:rPr>
        <w:t xml:space="preserve"> 3 roky. Investiční náklady (odborný odhad)</w:t>
      </w:r>
      <w:r w:rsidR="00816B6F">
        <w:rPr>
          <w:szCs w:val="24"/>
        </w:rPr>
        <w:t xml:space="preserve"> činí</w:t>
      </w:r>
      <w:r w:rsidRPr="00FE3DDA">
        <w:rPr>
          <w:szCs w:val="24"/>
        </w:rPr>
        <w:t xml:space="preserve"> cca 275</w:t>
      </w:r>
      <w:r w:rsidR="00816B6F">
        <w:rPr>
          <w:szCs w:val="24"/>
        </w:rPr>
        <w:t> </w:t>
      </w:r>
      <w:r w:rsidRPr="00FE3DDA">
        <w:rPr>
          <w:szCs w:val="24"/>
        </w:rPr>
        <w:t>mil</w:t>
      </w:r>
      <w:r w:rsidR="00816B6F">
        <w:rPr>
          <w:szCs w:val="24"/>
        </w:rPr>
        <w:t>.</w:t>
      </w:r>
      <w:r w:rsidRPr="00FE3DDA">
        <w:rPr>
          <w:szCs w:val="24"/>
        </w:rPr>
        <w:t xml:space="preserve"> Kč.</w:t>
      </w:r>
    </w:p>
    <w:p w:rsidR="008A2B1C" w:rsidRPr="00FE3DDA" w:rsidRDefault="00A90965" w:rsidP="00FD4C88">
      <w:pPr>
        <w:pStyle w:val="Standard"/>
        <w:numPr>
          <w:ilvl w:val="0"/>
          <w:numId w:val="51"/>
        </w:numPr>
        <w:spacing w:after="20"/>
        <w:ind w:left="357" w:hanging="357"/>
        <w:rPr>
          <w:szCs w:val="24"/>
          <w:u w:val="single"/>
        </w:rPr>
      </w:pPr>
      <w:proofErr w:type="spellStart"/>
      <w:r w:rsidRPr="00FE3DDA">
        <w:rPr>
          <w:szCs w:val="24"/>
          <w:u w:val="single"/>
        </w:rPr>
        <w:t>BioLPG</w:t>
      </w:r>
      <w:proofErr w:type="spellEnd"/>
    </w:p>
    <w:p w:rsidR="008A2B1C" w:rsidRPr="00FE3DDA" w:rsidRDefault="00A90965" w:rsidP="0022318C">
      <w:pPr>
        <w:pStyle w:val="Standard"/>
        <w:spacing w:after="20"/>
        <w:rPr>
          <w:szCs w:val="24"/>
        </w:rPr>
      </w:pPr>
      <w:proofErr w:type="spellStart"/>
      <w:r w:rsidRPr="00FE3DDA">
        <w:rPr>
          <w:szCs w:val="24"/>
        </w:rPr>
        <w:t>BioLPG</w:t>
      </w:r>
      <w:proofErr w:type="spellEnd"/>
      <w:r w:rsidRPr="00FE3DDA">
        <w:rPr>
          <w:szCs w:val="24"/>
        </w:rPr>
        <w:t xml:space="preserve"> je legislativou uznaným vyspělým palivem a lze jeho prostřednictvím plnit cíle jak v OZE, tak snížení emisí skleníkových plynů a předepsané nasazení vyspělých biopaliv dle legislativy RED II. Jeho podíl na splnění cílů vzhledem k zdrojům výroby (v ČR se dosud nevyrábí) bude velmi malý nebo žádný.</w:t>
      </w:r>
    </w:p>
    <w:p w:rsidR="008A2B1C" w:rsidRPr="00FE3DDA" w:rsidRDefault="00A90965" w:rsidP="0022318C">
      <w:pPr>
        <w:pStyle w:val="Standard"/>
        <w:spacing w:after="20"/>
        <w:rPr>
          <w:szCs w:val="24"/>
        </w:rPr>
      </w:pPr>
      <w:proofErr w:type="spellStart"/>
      <w:r w:rsidRPr="00FE3DDA">
        <w:rPr>
          <w:szCs w:val="24"/>
        </w:rPr>
        <w:t>BioLPG</w:t>
      </w:r>
      <w:proofErr w:type="spellEnd"/>
      <w:r w:rsidRPr="00FE3DDA">
        <w:rPr>
          <w:szCs w:val="24"/>
        </w:rPr>
        <w:t xml:space="preserve"> je o 40 až 70 % šetrnější než fosilní LPG a lze ušetřit 50 až 90</w:t>
      </w:r>
      <w:r w:rsidR="0022318C">
        <w:rPr>
          <w:szCs w:val="24"/>
        </w:rPr>
        <w:t> </w:t>
      </w:r>
      <w:r w:rsidRPr="00FE3DDA">
        <w:rPr>
          <w:szCs w:val="24"/>
        </w:rPr>
        <w:t>% gCO2/MJ oproti emisím ze spalování fosilního LPG.</w:t>
      </w:r>
    </w:p>
    <w:p w:rsidR="008A2B1C" w:rsidRPr="00FE3DDA" w:rsidRDefault="00A90965" w:rsidP="0022318C">
      <w:pPr>
        <w:pStyle w:val="Standard"/>
        <w:spacing w:after="20"/>
        <w:rPr>
          <w:szCs w:val="24"/>
        </w:rPr>
      </w:pPr>
      <w:r w:rsidRPr="00FE3DDA">
        <w:rPr>
          <w:szCs w:val="24"/>
        </w:rPr>
        <w:t xml:space="preserve">Výhřevnost </w:t>
      </w:r>
      <w:proofErr w:type="spellStart"/>
      <w:r w:rsidRPr="00FE3DDA">
        <w:rPr>
          <w:szCs w:val="24"/>
        </w:rPr>
        <w:t>bioLPG</w:t>
      </w:r>
      <w:proofErr w:type="spellEnd"/>
      <w:r w:rsidRPr="00FE3DDA">
        <w:rPr>
          <w:szCs w:val="24"/>
        </w:rPr>
        <w:t xml:space="preserve"> je 46 MJ/kg. Výhřevnost fosilního LPG je stejná jako BNG a emise 73,6</w:t>
      </w:r>
      <w:r w:rsidR="008E4DCC">
        <w:rPr>
          <w:szCs w:val="24"/>
        </w:rPr>
        <w:t> </w:t>
      </w:r>
      <w:r w:rsidRPr="00FE3DDA">
        <w:rPr>
          <w:szCs w:val="24"/>
        </w:rPr>
        <w:t xml:space="preserve">gCO2/MJ.  Emise </w:t>
      </w:r>
      <w:proofErr w:type="spellStart"/>
      <w:r w:rsidRPr="00FE3DDA">
        <w:rPr>
          <w:szCs w:val="24"/>
        </w:rPr>
        <w:t>bioLPG</w:t>
      </w:r>
      <w:proofErr w:type="spellEnd"/>
      <w:r w:rsidRPr="00FE3DDA">
        <w:rPr>
          <w:szCs w:val="24"/>
        </w:rPr>
        <w:t xml:space="preserve"> jsou pak určeny technologií.</w:t>
      </w:r>
    </w:p>
    <w:p w:rsidR="00B46127" w:rsidRDefault="00B46127" w:rsidP="0022318C">
      <w:pPr>
        <w:pStyle w:val="Standard"/>
        <w:spacing w:after="20"/>
        <w:rPr>
          <w:szCs w:val="24"/>
        </w:rPr>
      </w:pPr>
    </w:p>
    <w:p w:rsidR="008A2B1C" w:rsidRPr="00FE3DDA" w:rsidRDefault="00A90965" w:rsidP="0022318C">
      <w:pPr>
        <w:pStyle w:val="Standard"/>
        <w:spacing w:after="20"/>
        <w:rPr>
          <w:szCs w:val="24"/>
        </w:rPr>
      </w:pPr>
      <w:r w:rsidRPr="00FE3DDA">
        <w:rPr>
          <w:szCs w:val="24"/>
        </w:rPr>
        <w:t xml:space="preserve">V ČR není v současné době řešitel projektu. Potencionálním řešitelem se může stát </w:t>
      </w:r>
      <w:proofErr w:type="spellStart"/>
      <w:r w:rsidRPr="00FE3DDA">
        <w:rPr>
          <w:szCs w:val="24"/>
        </w:rPr>
        <w:t>Uni</w:t>
      </w:r>
      <w:r w:rsidR="002063D5">
        <w:rPr>
          <w:szCs w:val="24"/>
        </w:rPr>
        <w:t>CRE</w:t>
      </w:r>
      <w:proofErr w:type="spellEnd"/>
      <w:r w:rsidR="002063D5">
        <w:rPr>
          <w:szCs w:val="24"/>
        </w:rPr>
        <w:t xml:space="preserve">, </w:t>
      </w:r>
      <w:r w:rsidRPr="00FE3DDA">
        <w:rPr>
          <w:szCs w:val="24"/>
        </w:rPr>
        <w:t xml:space="preserve">Kralupy n. </w:t>
      </w:r>
      <w:proofErr w:type="spellStart"/>
      <w:r w:rsidRPr="00FE3DDA">
        <w:rPr>
          <w:szCs w:val="24"/>
        </w:rPr>
        <w:t>V</w:t>
      </w:r>
      <w:r w:rsidR="002063D5">
        <w:rPr>
          <w:szCs w:val="24"/>
        </w:rPr>
        <w:t>l</w:t>
      </w:r>
      <w:r w:rsidRPr="00FE3DDA">
        <w:rPr>
          <w:szCs w:val="24"/>
        </w:rPr>
        <w:t>t</w:t>
      </w:r>
      <w:proofErr w:type="spellEnd"/>
      <w:r w:rsidRPr="00FE3DDA">
        <w:rPr>
          <w:szCs w:val="24"/>
        </w:rPr>
        <w:t>.</w:t>
      </w:r>
    </w:p>
    <w:p w:rsidR="008A2B1C" w:rsidRPr="00FE3DDA" w:rsidRDefault="00A90965" w:rsidP="0022318C">
      <w:pPr>
        <w:pStyle w:val="Standard"/>
        <w:spacing w:after="20"/>
        <w:rPr>
          <w:szCs w:val="24"/>
        </w:rPr>
      </w:pPr>
      <w:r w:rsidRPr="00FE3DDA">
        <w:rPr>
          <w:szCs w:val="24"/>
        </w:rPr>
        <w:t>O realizaci není v ČR rozhodnuto.</w:t>
      </w:r>
    </w:p>
    <w:p w:rsidR="008A2B1C" w:rsidRPr="00FE3DDA" w:rsidRDefault="00A90965" w:rsidP="0022318C">
      <w:pPr>
        <w:pStyle w:val="Standard"/>
        <w:spacing w:after="20"/>
        <w:rPr>
          <w:szCs w:val="24"/>
        </w:rPr>
      </w:pPr>
      <w:r w:rsidRPr="00FE3DDA">
        <w:rPr>
          <w:szCs w:val="24"/>
        </w:rPr>
        <w:t xml:space="preserve">V současné době (od března 2018) </w:t>
      </w:r>
      <w:proofErr w:type="spellStart"/>
      <w:r w:rsidRPr="00FE3DDA">
        <w:rPr>
          <w:szCs w:val="24"/>
        </w:rPr>
        <w:t>bioLPG</w:t>
      </w:r>
      <w:proofErr w:type="spellEnd"/>
      <w:r w:rsidRPr="00FE3DDA">
        <w:rPr>
          <w:szCs w:val="24"/>
        </w:rPr>
        <w:t xml:space="preserve"> dodává na trh v Evropě finská společnost NESTE OY</w:t>
      </w:r>
      <w:r w:rsidR="002063D5">
        <w:rPr>
          <w:szCs w:val="24"/>
        </w:rPr>
        <w:t xml:space="preserve">J </w:t>
      </w:r>
      <w:r w:rsidRPr="00FE3DDA">
        <w:rPr>
          <w:szCs w:val="24"/>
        </w:rPr>
        <w:t>společně s biopalivy vyroben</w:t>
      </w:r>
      <w:r w:rsidR="002063D5">
        <w:rPr>
          <w:szCs w:val="24"/>
        </w:rPr>
        <w:t>ými</w:t>
      </w:r>
      <w:r w:rsidRPr="00FE3DDA">
        <w:rPr>
          <w:szCs w:val="24"/>
        </w:rPr>
        <w:t xml:space="preserve"> procesem NEXT BTL prostřednictvím společnosti SHV </w:t>
      </w:r>
      <w:proofErr w:type="spellStart"/>
      <w:r w:rsidRPr="00FE3DDA">
        <w:rPr>
          <w:szCs w:val="24"/>
        </w:rPr>
        <w:t>Energy</w:t>
      </w:r>
      <w:proofErr w:type="spellEnd"/>
      <w:r w:rsidRPr="00FE3DDA">
        <w:rPr>
          <w:szCs w:val="24"/>
        </w:rPr>
        <w:t xml:space="preserve"> a v ČR prostřednictvím společnosti </w:t>
      </w:r>
      <w:proofErr w:type="spellStart"/>
      <w:r w:rsidRPr="00FE3DDA">
        <w:rPr>
          <w:szCs w:val="24"/>
        </w:rPr>
        <w:t>Primagas</w:t>
      </w:r>
      <w:proofErr w:type="spellEnd"/>
      <w:r w:rsidRPr="00FE3DDA">
        <w:rPr>
          <w:szCs w:val="24"/>
        </w:rPr>
        <w:t xml:space="preserve"> na trh osmi evropským zemím. SHV </w:t>
      </w:r>
      <w:proofErr w:type="spellStart"/>
      <w:r w:rsidRPr="00FE3DDA">
        <w:rPr>
          <w:szCs w:val="24"/>
        </w:rPr>
        <w:t>Energy</w:t>
      </w:r>
      <w:proofErr w:type="spellEnd"/>
      <w:r w:rsidRPr="00FE3DDA">
        <w:rPr>
          <w:szCs w:val="24"/>
        </w:rPr>
        <w:t xml:space="preserve"> plánuje do roku 2022 dodávat 60 tis. tun </w:t>
      </w:r>
      <w:proofErr w:type="spellStart"/>
      <w:r w:rsidR="002063D5" w:rsidRPr="00FE3DDA">
        <w:rPr>
          <w:szCs w:val="24"/>
        </w:rPr>
        <w:t>bioLPG</w:t>
      </w:r>
      <w:proofErr w:type="spellEnd"/>
      <w:r w:rsidR="002063D5" w:rsidRPr="00FE3DDA">
        <w:rPr>
          <w:szCs w:val="24"/>
        </w:rPr>
        <w:t xml:space="preserve"> </w:t>
      </w:r>
      <w:r w:rsidRPr="00FE3DDA">
        <w:rPr>
          <w:szCs w:val="24"/>
        </w:rPr>
        <w:t>za rok.</w:t>
      </w:r>
    </w:p>
    <w:p w:rsidR="008A2B1C" w:rsidRPr="00FE3DDA" w:rsidRDefault="00A90965">
      <w:pPr>
        <w:pStyle w:val="Standard"/>
        <w:rPr>
          <w:szCs w:val="24"/>
        </w:rPr>
      </w:pPr>
      <w:r w:rsidRPr="00FE3DDA">
        <w:rPr>
          <w:szCs w:val="24"/>
        </w:rPr>
        <w:t>LPG je také uváděn na trh jako palivo (palivo a pohonná hmota) fosilního původu odpadající ze zpracování ropy v rafinériích. Jeho podíl na trhu je však marginální.</w:t>
      </w:r>
    </w:p>
    <w:p w:rsidR="008A2B1C" w:rsidRPr="00361E40" w:rsidRDefault="00A90965" w:rsidP="00FD4C88">
      <w:pPr>
        <w:pStyle w:val="Nadpis2"/>
        <w:numPr>
          <w:ilvl w:val="0"/>
          <w:numId w:val="50"/>
        </w:numPr>
        <w:tabs>
          <w:tab w:val="clear" w:pos="94"/>
          <w:tab w:val="left" w:pos="426"/>
        </w:tabs>
        <w:ind w:hanging="720"/>
        <w:rPr>
          <w:sz w:val="26"/>
        </w:rPr>
      </w:pPr>
      <w:bookmarkStart w:id="44" w:name="_Toc38019659"/>
      <w:bookmarkStart w:id="45" w:name="_Toc38019722"/>
      <w:bookmarkStart w:id="46" w:name="_Toc38023734"/>
      <w:r w:rsidRPr="00361E40">
        <w:rPr>
          <w:sz w:val="26"/>
        </w:rPr>
        <w:t>Realistická o</w:t>
      </w:r>
      <w:r w:rsidR="00361E40">
        <w:rPr>
          <w:sz w:val="26"/>
        </w:rPr>
        <w:t>pa</w:t>
      </w:r>
      <w:r w:rsidRPr="00361E40">
        <w:rPr>
          <w:sz w:val="26"/>
        </w:rPr>
        <w:t xml:space="preserve">tření k dosažení cílů RED I </w:t>
      </w:r>
      <w:r w:rsidR="00971199">
        <w:rPr>
          <w:sz w:val="26"/>
        </w:rPr>
        <w:t>do</w:t>
      </w:r>
      <w:r w:rsidRPr="00361E40">
        <w:rPr>
          <w:sz w:val="26"/>
        </w:rPr>
        <w:t xml:space="preserve"> roku 2020</w:t>
      </w:r>
      <w:bookmarkEnd w:id="44"/>
      <w:bookmarkEnd w:id="45"/>
      <w:bookmarkEnd w:id="46"/>
    </w:p>
    <w:p w:rsidR="008A2B1C" w:rsidRPr="00FE3DDA" w:rsidRDefault="00A90965" w:rsidP="00FD4C88">
      <w:pPr>
        <w:pStyle w:val="Standard"/>
        <w:numPr>
          <w:ilvl w:val="0"/>
          <w:numId w:val="52"/>
        </w:numPr>
        <w:spacing w:after="20"/>
        <w:ind w:left="357" w:hanging="357"/>
        <w:rPr>
          <w:szCs w:val="24"/>
          <w:u w:val="single"/>
        </w:rPr>
      </w:pPr>
      <w:r w:rsidRPr="00FE3DDA">
        <w:rPr>
          <w:szCs w:val="24"/>
          <w:u w:val="single"/>
        </w:rPr>
        <w:t>Automobilové benziny a motorová nafta s vyšším objemovým podílem biopaliv první generace</w:t>
      </w:r>
    </w:p>
    <w:p w:rsidR="008A2B1C" w:rsidRPr="00FE3DDA" w:rsidRDefault="00A90965" w:rsidP="008E4DCC">
      <w:pPr>
        <w:pStyle w:val="Standard"/>
        <w:spacing w:after="20"/>
        <w:rPr>
          <w:szCs w:val="24"/>
        </w:rPr>
      </w:pPr>
      <w:r w:rsidRPr="00FE3DDA">
        <w:rPr>
          <w:szCs w:val="24"/>
        </w:rPr>
        <w:t xml:space="preserve">K splnění cílů v OZE a snížení emise skleníkových plynů ze spalování motorových paliv v roce 2020 o 6 % oproti ekvivalentu (94,1 g CO2/MJ) je velmi účelné plošně přejít na dodávku benzinu v jakosti E10. Dále bude možné po schválení ČSN EN 16734 a projednání s výrobci </w:t>
      </w:r>
      <w:proofErr w:type="spellStart"/>
      <w:r w:rsidR="008E4DCC">
        <w:rPr>
          <w:szCs w:val="24"/>
        </w:rPr>
        <w:t>d</w:t>
      </w:r>
      <w:r w:rsidRPr="00FE3DDA">
        <w:rPr>
          <w:szCs w:val="24"/>
        </w:rPr>
        <w:t>ieslových</w:t>
      </w:r>
      <w:proofErr w:type="spellEnd"/>
      <w:r w:rsidRPr="00FE3DDA">
        <w:rPr>
          <w:szCs w:val="24"/>
        </w:rPr>
        <w:t xml:space="preserve"> motorů a ACEA možné plošně přejít na výrobu a dodávku motorové nafty B10. Technologie a zařízení je v ČR k dispozici.</w:t>
      </w:r>
    </w:p>
    <w:p w:rsidR="008A2B1C" w:rsidRPr="00FE3DDA" w:rsidRDefault="00A90965" w:rsidP="008E4DCC">
      <w:pPr>
        <w:pStyle w:val="Standard"/>
        <w:spacing w:after="20"/>
        <w:rPr>
          <w:szCs w:val="24"/>
        </w:rPr>
      </w:pPr>
      <w:r w:rsidRPr="00FE3DDA">
        <w:rPr>
          <w:szCs w:val="24"/>
        </w:rPr>
        <w:t>V případě plošného uplatnění paliva E10 a B 7 roce 2020 bude očekávané plnění uplatnění OZE zvýšeno z 6,14 % na 10,1 % a snížení emisí z cca 3,5 % na 4,3 %.</w:t>
      </w:r>
    </w:p>
    <w:p w:rsidR="008A2B1C" w:rsidRPr="00FE3DDA" w:rsidRDefault="00A90965" w:rsidP="008E4DCC">
      <w:pPr>
        <w:pStyle w:val="Standard"/>
        <w:spacing w:after="20"/>
        <w:rPr>
          <w:szCs w:val="24"/>
        </w:rPr>
      </w:pPr>
      <w:r w:rsidRPr="00FE3DDA">
        <w:rPr>
          <w:szCs w:val="24"/>
        </w:rPr>
        <w:t>Automobilové benziny E10 s obsahem kyslíku do 3,7 % m/m lze zavést u všech výrobců a</w:t>
      </w:r>
      <w:r w:rsidR="006C526A">
        <w:rPr>
          <w:szCs w:val="24"/>
        </w:rPr>
        <w:t> </w:t>
      </w:r>
      <w:r w:rsidRPr="00FE3DDA">
        <w:rPr>
          <w:szCs w:val="24"/>
        </w:rPr>
        <w:t>dodavatelů okamžitě. Kvalita je stanovena ČSN EN 228+A1 (E10). Zařízení a suroviny jsou k dispozici. Dodavateli v podmínkách ČR jsou</w:t>
      </w:r>
      <w:r w:rsidR="006C526A">
        <w:rPr>
          <w:szCs w:val="24"/>
        </w:rPr>
        <w:t xml:space="preserve"> společnosti</w:t>
      </w:r>
      <w:r w:rsidRPr="00FE3DDA">
        <w:rPr>
          <w:szCs w:val="24"/>
        </w:rPr>
        <w:t xml:space="preserve"> UNIPETROL RPA a ČEPRO a</w:t>
      </w:r>
      <w:r w:rsidR="006C526A">
        <w:rPr>
          <w:szCs w:val="24"/>
        </w:rPr>
        <w:t> </w:t>
      </w:r>
      <w:r w:rsidRPr="00FE3DDA">
        <w:rPr>
          <w:szCs w:val="24"/>
        </w:rPr>
        <w:t>dovozci automobilového benzinu a motorové nafty.</w:t>
      </w:r>
    </w:p>
    <w:p w:rsidR="008A2B1C" w:rsidRPr="00FE3DDA" w:rsidRDefault="00A90965" w:rsidP="008E4DCC">
      <w:pPr>
        <w:pStyle w:val="Standard"/>
        <w:spacing w:after="20"/>
        <w:rPr>
          <w:szCs w:val="24"/>
        </w:rPr>
      </w:pPr>
      <w:r w:rsidRPr="00FE3DDA">
        <w:rPr>
          <w:szCs w:val="24"/>
        </w:rPr>
        <w:t>Motorovou naftu</w:t>
      </w:r>
      <w:r w:rsidR="006C526A">
        <w:rPr>
          <w:szCs w:val="24"/>
        </w:rPr>
        <w:t xml:space="preserve"> </w:t>
      </w:r>
      <w:r w:rsidRPr="00FE3DDA">
        <w:rPr>
          <w:szCs w:val="24"/>
        </w:rPr>
        <w:t>s obsahem FAME/MEŘO do 10</w:t>
      </w:r>
      <w:r w:rsidR="006C526A">
        <w:rPr>
          <w:szCs w:val="24"/>
        </w:rPr>
        <w:t> </w:t>
      </w:r>
      <w:r w:rsidRPr="00FE3DDA">
        <w:rPr>
          <w:szCs w:val="24"/>
        </w:rPr>
        <w:t>% V/V lze zavést u všech výrobců a</w:t>
      </w:r>
      <w:r w:rsidR="006C526A">
        <w:rPr>
          <w:szCs w:val="24"/>
        </w:rPr>
        <w:t> </w:t>
      </w:r>
      <w:r w:rsidRPr="00FE3DDA">
        <w:rPr>
          <w:szCs w:val="24"/>
        </w:rPr>
        <w:t>dodavatelů ihned po schválení účinnosti ČSN EN 16 734.</w:t>
      </w:r>
    </w:p>
    <w:p w:rsidR="008A2B1C" w:rsidRPr="00FE3DDA" w:rsidRDefault="00A90965" w:rsidP="00B46127">
      <w:pPr>
        <w:pStyle w:val="Standard"/>
        <w:spacing w:after="20"/>
        <w:rPr>
          <w:szCs w:val="24"/>
        </w:rPr>
      </w:pPr>
      <w:r w:rsidRPr="00FE3DDA">
        <w:rPr>
          <w:szCs w:val="24"/>
        </w:rPr>
        <w:t>Jako přechodnou etapu lze okamžitě zavést plošnou výrobu a dodávku motorové nafty s obsahem FAME/MEŘO 6,9 %</w:t>
      </w:r>
      <w:r w:rsidR="003D6E9A">
        <w:rPr>
          <w:szCs w:val="24"/>
        </w:rPr>
        <w:t> </w:t>
      </w:r>
      <w:r w:rsidRPr="00FE3DDA">
        <w:rPr>
          <w:szCs w:val="24"/>
        </w:rPr>
        <w:t>V/V.</w:t>
      </w:r>
    </w:p>
    <w:p w:rsidR="008A2B1C" w:rsidRPr="00FE3DDA" w:rsidRDefault="00A90965" w:rsidP="008E4DCC">
      <w:pPr>
        <w:pStyle w:val="Standard"/>
        <w:spacing w:after="20"/>
        <w:rPr>
          <w:szCs w:val="24"/>
        </w:rPr>
      </w:pPr>
      <w:r w:rsidRPr="00FE3DDA">
        <w:rPr>
          <w:szCs w:val="24"/>
        </w:rPr>
        <w:t>Zavedení mezistupně obsahu FAME/MEŘO v motorové naftě dle EN 589 ve výši 7</w:t>
      </w:r>
      <w:r w:rsidR="003D6E9A">
        <w:rPr>
          <w:szCs w:val="24"/>
        </w:rPr>
        <w:sym w:font="Symbol" w:char="F02D"/>
      </w:r>
      <w:r w:rsidRPr="00FE3DDA">
        <w:rPr>
          <w:szCs w:val="24"/>
        </w:rPr>
        <w:t>9 % naráží na negativní stanovisko ACEA.</w:t>
      </w:r>
    </w:p>
    <w:p w:rsidR="008A2B1C" w:rsidRPr="00FE3DDA" w:rsidRDefault="00A90965" w:rsidP="003D6E9A">
      <w:pPr>
        <w:pStyle w:val="Standard"/>
        <w:spacing w:after="60"/>
        <w:rPr>
          <w:szCs w:val="24"/>
        </w:rPr>
      </w:pPr>
      <w:r w:rsidRPr="00FE3DDA">
        <w:rPr>
          <w:szCs w:val="24"/>
        </w:rPr>
        <w:t>Investiční náklady na realizaci jak u benzinu</w:t>
      </w:r>
      <w:r w:rsidR="003D6E9A">
        <w:rPr>
          <w:szCs w:val="24"/>
        </w:rPr>
        <w:t>,</w:t>
      </w:r>
      <w:r w:rsidRPr="00FE3DDA">
        <w:rPr>
          <w:szCs w:val="24"/>
        </w:rPr>
        <w:t xml:space="preserve"> tak nafty s vyšším obsahem bi</w:t>
      </w:r>
      <w:r w:rsidR="003D6E9A">
        <w:rPr>
          <w:szCs w:val="24"/>
        </w:rPr>
        <w:t>o</w:t>
      </w:r>
      <w:r w:rsidRPr="00FE3DDA">
        <w:rPr>
          <w:szCs w:val="24"/>
        </w:rPr>
        <w:t>složky nevzniknou.</w:t>
      </w:r>
    </w:p>
    <w:p w:rsidR="008A2B1C" w:rsidRPr="00FE3DDA" w:rsidRDefault="003D6E9A" w:rsidP="00FD4C88">
      <w:pPr>
        <w:pStyle w:val="Standard"/>
        <w:numPr>
          <w:ilvl w:val="0"/>
          <w:numId w:val="52"/>
        </w:numPr>
        <w:spacing w:after="20"/>
        <w:ind w:left="357" w:hanging="357"/>
        <w:rPr>
          <w:szCs w:val="24"/>
          <w:u w:val="single"/>
        </w:rPr>
      </w:pPr>
      <w:r>
        <w:rPr>
          <w:szCs w:val="24"/>
          <w:u w:val="single"/>
        </w:rPr>
        <w:t>Vy</w:t>
      </w:r>
      <w:r w:rsidRPr="00FE3DDA">
        <w:rPr>
          <w:szCs w:val="24"/>
          <w:u w:val="single"/>
        </w:rPr>
        <w:t>užití biopaliv</w:t>
      </w:r>
      <w:r w:rsidR="00A90965" w:rsidRPr="00FE3DDA">
        <w:rPr>
          <w:szCs w:val="24"/>
          <w:u w:val="single"/>
        </w:rPr>
        <w:t xml:space="preserve"> </w:t>
      </w:r>
      <w:r>
        <w:rPr>
          <w:szCs w:val="24"/>
          <w:u w:val="single"/>
        </w:rPr>
        <w:t>1</w:t>
      </w:r>
      <w:r w:rsidR="00A90965" w:rsidRPr="00FE3DDA">
        <w:rPr>
          <w:szCs w:val="24"/>
          <w:u w:val="single"/>
        </w:rPr>
        <w:t>. generace s velmi nízkými emisemi skleníkových plynů</w:t>
      </w:r>
    </w:p>
    <w:p w:rsidR="008A2B1C" w:rsidRPr="00FE3DDA" w:rsidRDefault="00A90965" w:rsidP="00B46127">
      <w:pPr>
        <w:pStyle w:val="Standard"/>
        <w:spacing w:after="20"/>
        <w:rPr>
          <w:szCs w:val="24"/>
        </w:rPr>
      </w:pPr>
      <w:r w:rsidRPr="00FE3DDA">
        <w:rPr>
          <w:szCs w:val="24"/>
        </w:rPr>
        <w:t xml:space="preserve">Biopaliva </w:t>
      </w:r>
      <w:r w:rsidR="003D6E9A">
        <w:rPr>
          <w:szCs w:val="24"/>
        </w:rPr>
        <w:t>1</w:t>
      </w:r>
      <w:r w:rsidRPr="00FE3DDA">
        <w:rPr>
          <w:szCs w:val="24"/>
        </w:rPr>
        <w:t>.</w:t>
      </w:r>
      <w:r w:rsidR="003D6E9A">
        <w:rPr>
          <w:szCs w:val="24"/>
        </w:rPr>
        <w:t xml:space="preserve"> </w:t>
      </w:r>
      <w:r w:rsidRPr="00FE3DDA">
        <w:rPr>
          <w:szCs w:val="24"/>
        </w:rPr>
        <w:t>generace používaná jako složka pro silniční paliva (automobilové benziny a</w:t>
      </w:r>
      <w:r w:rsidR="003D6E9A">
        <w:rPr>
          <w:szCs w:val="24"/>
        </w:rPr>
        <w:t> </w:t>
      </w:r>
      <w:r w:rsidRPr="00FE3DDA">
        <w:rPr>
          <w:szCs w:val="24"/>
        </w:rPr>
        <w:t xml:space="preserve">motorové nafty) musí splňovat </w:t>
      </w:r>
      <w:r w:rsidR="003D6E9A">
        <w:rPr>
          <w:szCs w:val="24"/>
        </w:rPr>
        <w:t xml:space="preserve">parametry </w:t>
      </w:r>
      <w:r w:rsidRPr="00FE3DDA">
        <w:rPr>
          <w:szCs w:val="24"/>
        </w:rPr>
        <w:t>ve smyslu Nařízení vlády</w:t>
      </w:r>
      <w:r w:rsidR="003D6E9A">
        <w:rPr>
          <w:szCs w:val="24"/>
        </w:rPr>
        <w:t xml:space="preserve"> </w:t>
      </w:r>
      <w:r w:rsidRPr="00FE3DDA">
        <w:rPr>
          <w:szCs w:val="24"/>
        </w:rPr>
        <w:t>č.</w:t>
      </w:r>
      <w:r w:rsidR="003D6E9A">
        <w:rPr>
          <w:szCs w:val="24"/>
        </w:rPr>
        <w:t> </w:t>
      </w:r>
      <w:r w:rsidRPr="00FE3DDA">
        <w:rPr>
          <w:szCs w:val="24"/>
        </w:rPr>
        <w:t>189/2018</w:t>
      </w:r>
      <w:r w:rsidR="003D6E9A">
        <w:rPr>
          <w:szCs w:val="24"/>
        </w:rPr>
        <w:t> </w:t>
      </w:r>
      <w:r w:rsidRPr="00FE3DDA">
        <w:rPr>
          <w:szCs w:val="24"/>
        </w:rPr>
        <w:t>Sb., o krit</w:t>
      </w:r>
      <w:r w:rsidR="003D6E9A">
        <w:rPr>
          <w:szCs w:val="24"/>
        </w:rPr>
        <w:t>é</w:t>
      </w:r>
      <w:r w:rsidRPr="00FE3DDA">
        <w:rPr>
          <w:szCs w:val="24"/>
        </w:rPr>
        <w:t xml:space="preserve">riích udržitelnosti a snižování emisí skleníkových plynů z pohonných hmot, která v % vyjadřují konkrétní úsporu emisí </w:t>
      </w:r>
      <w:r w:rsidR="003D6E9A">
        <w:rPr>
          <w:szCs w:val="24"/>
        </w:rPr>
        <w:t>skleníkových plynů</w:t>
      </w:r>
      <w:r w:rsidRPr="00FE3DDA">
        <w:rPr>
          <w:szCs w:val="24"/>
        </w:rPr>
        <w:t xml:space="preserve"> oproti základu. Pro</w:t>
      </w:r>
      <w:r w:rsidR="003D6E9A">
        <w:rPr>
          <w:szCs w:val="24"/>
        </w:rPr>
        <w:t xml:space="preserve"> </w:t>
      </w:r>
      <w:r w:rsidRPr="00FE3DDA">
        <w:rPr>
          <w:szCs w:val="24"/>
        </w:rPr>
        <w:t>rok 2020 je krit</w:t>
      </w:r>
      <w:r w:rsidR="003D6E9A">
        <w:rPr>
          <w:szCs w:val="24"/>
        </w:rPr>
        <w:t>é</w:t>
      </w:r>
      <w:r w:rsidRPr="00FE3DDA">
        <w:rPr>
          <w:szCs w:val="24"/>
        </w:rPr>
        <w:t>rium udržitelnosti stanoveno na 50</w:t>
      </w:r>
      <w:r w:rsidR="003D6E9A">
        <w:rPr>
          <w:szCs w:val="24"/>
        </w:rPr>
        <w:t> </w:t>
      </w:r>
      <w:r w:rsidRPr="00FE3DDA">
        <w:rPr>
          <w:szCs w:val="24"/>
        </w:rPr>
        <w:t>%. Dodavatel biopaliva musí hodnotu prokázat certifikátem.</w:t>
      </w:r>
    </w:p>
    <w:p w:rsidR="008A2B1C" w:rsidRPr="00FE3DDA" w:rsidRDefault="00A90965" w:rsidP="003D6E9A">
      <w:pPr>
        <w:pStyle w:val="Standard"/>
        <w:spacing w:after="20"/>
        <w:rPr>
          <w:szCs w:val="24"/>
        </w:rPr>
      </w:pPr>
      <w:r w:rsidRPr="00FE3DDA">
        <w:rPr>
          <w:szCs w:val="24"/>
        </w:rPr>
        <w:t xml:space="preserve">V současné době jsou </w:t>
      </w:r>
      <w:r w:rsidR="003D6E9A" w:rsidRPr="00FE3DDA">
        <w:rPr>
          <w:szCs w:val="24"/>
        </w:rPr>
        <w:t xml:space="preserve">na trhu </w:t>
      </w:r>
      <w:r w:rsidRPr="00FE3DDA">
        <w:rPr>
          <w:szCs w:val="24"/>
        </w:rPr>
        <w:t>k dispozici biopaliva s emisemi 20 až 30 mg CO2/J a FAME z</w:t>
      </w:r>
      <w:r w:rsidR="003D6E9A">
        <w:rPr>
          <w:szCs w:val="24"/>
        </w:rPr>
        <w:t> </w:t>
      </w:r>
      <w:r w:rsidRPr="00FE3DDA">
        <w:rPr>
          <w:szCs w:val="24"/>
        </w:rPr>
        <w:t>UCO s emisemi 10 mgCO2/J.</w:t>
      </w:r>
    </w:p>
    <w:p w:rsidR="008A2B1C" w:rsidRPr="00FE3DDA" w:rsidRDefault="00A90965" w:rsidP="008346E0">
      <w:pPr>
        <w:pStyle w:val="Standard"/>
        <w:rPr>
          <w:szCs w:val="24"/>
        </w:rPr>
      </w:pPr>
      <w:r w:rsidRPr="00FE3DDA">
        <w:rPr>
          <w:szCs w:val="24"/>
        </w:rPr>
        <w:t>Snížení emisí dosahují výrobci biopaliv vhodnou volbou surovin (odpadní biomasa)</w:t>
      </w:r>
      <w:r w:rsidR="001A0E21">
        <w:rPr>
          <w:szCs w:val="24"/>
        </w:rPr>
        <w:t xml:space="preserve"> a </w:t>
      </w:r>
      <w:r w:rsidRPr="00FE3DDA">
        <w:rPr>
          <w:szCs w:val="24"/>
        </w:rPr>
        <w:t>energetick</w:t>
      </w:r>
      <w:r w:rsidR="001A0E21">
        <w:rPr>
          <w:szCs w:val="24"/>
        </w:rPr>
        <w:t>ým</w:t>
      </w:r>
      <w:r w:rsidRPr="00FE3DDA">
        <w:rPr>
          <w:szCs w:val="24"/>
        </w:rPr>
        <w:t xml:space="preserve"> využití</w:t>
      </w:r>
      <w:r w:rsidR="001A0E21">
        <w:rPr>
          <w:szCs w:val="24"/>
        </w:rPr>
        <w:t>m</w:t>
      </w:r>
      <w:r w:rsidRPr="00FE3DDA">
        <w:rPr>
          <w:szCs w:val="24"/>
        </w:rPr>
        <w:t xml:space="preserve"> vedlejších výrobků úpravou technol</w:t>
      </w:r>
      <w:r w:rsidR="001A0E21">
        <w:rPr>
          <w:szCs w:val="24"/>
        </w:rPr>
        <w:t>o</w:t>
      </w:r>
      <w:r w:rsidRPr="00FE3DDA">
        <w:rPr>
          <w:szCs w:val="24"/>
        </w:rPr>
        <w:t>gií.</w:t>
      </w:r>
    </w:p>
    <w:p w:rsidR="008A2B1C" w:rsidRPr="008346E0" w:rsidRDefault="00A90965" w:rsidP="008346E0">
      <w:pPr>
        <w:pStyle w:val="Nadpis2"/>
        <w:numPr>
          <w:ilvl w:val="0"/>
          <w:numId w:val="34"/>
        </w:numPr>
        <w:tabs>
          <w:tab w:val="clear" w:pos="94"/>
          <w:tab w:val="left" w:pos="454"/>
        </w:tabs>
        <w:overflowPunct w:val="0"/>
        <w:autoSpaceDE w:val="0"/>
        <w:ind w:left="454" w:hanging="454"/>
      </w:pPr>
      <w:bookmarkStart w:id="47" w:name="_Toc38019660"/>
      <w:bookmarkStart w:id="48" w:name="_Toc38019723"/>
      <w:bookmarkStart w:id="49" w:name="_Toc38023735"/>
      <w:r w:rsidRPr="008346E0">
        <w:t>Shrnutí</w:t>
      </w:r>
      <w:bookmarkEnd w:id="47"/>
      <w:bookmarkEnd w:id="48"/>
      <w:bookmarkEnd w:id="49"/>
    </w:p>
    <w:p w:rsidR="00B46127" w:rsidRDefault="00A90965" w:rsidP="00D97F53">
      <w:pPr>
        <w:pStyle w:val="Standard"/>
        <w:spacing w:after="20"/>
        <w:rPr>
          <w:szCs w:val="24"/>
        </w:rPr>
      </w:pPr>
      <w:r w:rsidRPr="008346E0">
        <w:rPr>
          <w:szCs w:val="24"/>
        </w:rPr>
        <w:t xml:space="preserve">S ohledem na současný vývoj plnění cílů RED I </w:t>
      </w:r>
      <w:r w:rsidR="00EA384E">
        <w:rPr>
          <w:szCs w:val="24"/>
        </w:rPr>
        <w:t>do</w:t>
      </w:r>
      <w:r w:rsidRPr="008346E0">
        <w:rPr>
          <w:szCs w:val="24"/>
        </w:rPr>
        <w:t> roku 2020 lze předpokládat, že nebude splněna náhrada fosilní energie energií z OZE (cíl je určen pro členskou zemi) a snížení emisí o 6 % oproti základu 94,1 g CO2/MJ. Povinné osoby (dodavatelé benzinu a motorové nafty</w:t>
      </w:r>
      <w:r w:rsidR="008346E0">
        <w:rPr>
          <w:szCs w:val="24"/>
        </w:rPr>
        <w:t xml:space="preserve">) </w:t>
      </w:r>
      <w:r w:rsidRPr="008346E0">
        <w:rPr>
          <w:szCs w:val="24"/>
        </w:rPr>
        <w:t xml:space="preserve">splní objemovou povinnost užití biopaliv </w:t>
      </w:r>
      <w:r w:rsidR="008346E0">
        <w:rPr>
          <w:szCs w:val="24"/>
        </w:rPr>
        <w:t>1</w:t>
      </w:r>
      <w:r w:rsidRPr="008346E0">
        <w:rPr>
          <w:szCs w:val="24"/>
        </w:rPr>
        <w:t xml:space="preserve">. generace ve smyslu zákona </w:t>
      </w:r>
      <w:r w:rsidR="008346E0">
        <w:rPr>
          <w:szCs w:val="24"/>
        </w:rPr>
        <w:t xml:space="preserve">o </w:t>
      </w:r>
      <w:r w:rsidRPr="008346E0">
        <w:rPr>
          <w:szCs w:val="24"/>
        </w:rPr>
        <w:t xml:space="preserve">ochraně ovzduší. </w:t>
      </w:r>
    </w:p>
    <w:p w:rsidR="00B46127" w:rsidRDefault="00B46127" w:rsidP="00D97F53">
      <w:pPr>
        <w:pStyle w:val="Standard"/>
        <w:spacing w:after="20"/>
        <w:rPr>
          <w:szCs w:val="24"/>
        </w:rPr>
      </w:pPr>
    </w:p>
    <w:p w:rsidR="008A2B1C" w:rsidRPr="008346E0" w:rsidRDefault="00A90965" w:rsidP="00D97F53">
      <w:pPr>
        <w:pStyle w:val="Standard"/>
        <w:spacing w:after="20"/>
        <w:rPr>
          <w:szCs w:val="24"/>
        </w:rPr>
      </w:pPr>
      <w:r w:rsidRPr="008346E0">
        <w:rPr>
          <w:szCs w:val="24"/>
        </w:rPr>
        <w:t>Povinné osoby budou za nesplnění snížení emisí penalizovány nesmyslně vysokou pokutou ve výši 10 Kč za každý nesplnění kg CO2.</w:t>
      </w:r>
    </w:p>
    <w:p w:rsidR="008A2B1C" w:rsidRPr="008346E0" w:rsidRDefault="00A90965" w:rsidP="00D97F53">
      <w:pPr>
        <w:pStyle w:val="Standard"/>
        <w:spacing w:after="20"/>
        <w:rPr>
          <w:szCs w:val="24"/>
        </w:rPr>
      </w:pPr>
      <w:r w:rsidRPr="008346E0">
        <w:rPr>
          <w:szCs w:val="24"/>
        </w:rPr>
        <w:t>Splnění cílů v roce 2020 lze dosáhnout či částečně dosáhnout plošnou výrobou a dodávkou paliva E10 a následně (po schválení ČSN EN 16 734 a po dohodě s dopravci) B10, případně B7 či B8 na uzavřený trh (pokud ACEA použití doporučí)</w:t>
      </w:r>
      <w:r w:rsidR="00EA384E">
        <w:rPr>
          <w:szCs w:val="24"/>
        </w:rPr>
        <w:t xml:space="preserve"> </w:t>
      </w:r>
      <w:r w:rsidRPr="008346E0">
        <w:rPr>
          <w:szCs w:val="24"/>
        </w:rPr>
        <w:t>a výběrově směsného paliva B20/B30 dle ČSN EN 16709.</w:t>
      </w:r>
    </w:p>
    <w:p w:rsidR="008A2B1C" w:rsidRPr="008346E0" w:rsidRDefault="00EA384E" w:rsidP="00D97F53">
      <w:pPr>
        <w:pStyle w:val="Standard"/>
        <w:spacing w:after="20"/>
        <w:rPr>
          <w:szCs w:val="24"/>
        </w:rPr>
      </w:pPr>
      <w:r>
        <w:rPr>
          <w:szCs w:val="24"/>
        </w:rPr>
        <w:t>P</w:t>
      </w:r>
      <w:r w:rsidRPr="008346E0">
        <w:rPr>
          <w:szCs w:val="24"/>
        </w:rPr>
        <w:t>ro plnění cílů RED II v letech 2021 až 2030</w:t>
      </w:r>
      <w:r>
        <w:rPr>
          <w:szCs w:val="24"/>
        </w:rPr>
        <w:t xml:space="preserve"> lze v</w:t>
      </w:r>
      <w:r w:rsidR="00A90965" w:rsidRPr="008346E0">
        <w:rPr>
          <w:szCs w:val="24"/>
        </w:rPr>
        <w:t> současné době v ČR doporučit:</w:t>
      </w:r>
    </w:p>
    <w:p w:rsidR="008A2B1C" w:rsidRPr="008346E0" w:rsidRDefault="00A90965" w:rsidP="00FD4C88">
      <w:pPr>
        <w:pStyle w:val="Standard"/>
        <w:numPr>
          <w:ilvl w:val="0"/>
          <w:numId w:val="53"/>
        </w:numPr>
        <w:spacing w:after="20"/>
        <w:ind w:left="357" w:hanging="357"/>
        <w:rPr>
          <w:szCs w:val="24"/>
        </w:rPr>
      </w:pPr>
      <w:r w:rsidRPr="008346E0">
        <w:rPr>
          <w:szCs w:val="24"/>
        </w:rPr>
        <w:t>realizovat komerční výrobu HVO co-</w:t>
      </w:r>
      <w:proofErr w:type="spellStart"/>
      <w:r w:rsidRPr="008346E0">
        <w:rPr>
          <w:szCs w:val="24"/>
        </w:rPr>
        <w:t>processingovou</w:t>
      </w:r>
      <w:proofErr w:type="spellEnd"/>
      <w:r w:rsidRPr="008346E0">
        <w:rPr>
          <w:szCs w:val="24"/>
        </w:rPr>
        <w:t xml:space="preserve"> technologií a jeho mísení do motorové nafty. Technologie jsou k dispozici. Jako zásadní bude nutné na státní úrovni řešit surovinovou základnu pro výrobu HVO a prokázání obsahu biosložky</w:t>
      </w:r>
      <w:r w:rsidR="00EA384E">
        <w:rPr>
          <w:szCs w:val="24"/>
        </w:rPr>
        <w:t>;</w:t>
      </w:r>
    </w:p>
    <w:p w:rsidR="008A2B1C" w:rsidRPr="008346E0" w:rsidRDefault="00A90965" w:rsidP="00B46127">
      <w:pPr>
        <w:pStyle w:val="Standard"/>
        <w:numPr>
          <w:ilvl w:val="0"/>
          <w:numId w:val="53"/>
        </w:numPr>
        <w:spacing w:after="60"/>
        <w:ind w:left="357" w:hanging="357"/>
        <w:rPr>
          <w:szCs w:val="24"/>
        </w:rPr>
      </w:pPr>
      <w:r w:rsidRPr="008346E0">
        <w:rPr>
          <w:szCs w:val="24"/>
        </w:rPr>
        <w:t>zajistit rekonstrukci stávající výroby bioplynu (</w:t>
      </w:r>
      <w:r w:rsidR="00EA384E">
        <w:rPr>
          <w:szCs w:val="24"/>
        </w:rPr>
        <w:t>patrně</w:t>
      </w:r>
      <w:r w:rsidRPr="008346E0">
        <w:rPr>
          <w:szCs w:val="24"/>
        </w:rPr>
        <w:t xml:space="preserve"> až z</w:t>
      </w:r>
      <w:r w:rsidR="00EA384E">
        <w:rPr>
          <w:szCs w:val="24"/>
        </w:rPr>
        <w:t> </w:t>
      </w:r>
      <w:r w:rsidRPr="008346E0">
        <w:rPr>
          <w:szCs w:val="24"/>
        </w:rPr>
        <w:t>50</w:t>
      </w:r>
      <w:r w:rsidR="00EA384E">
        <w:rPr>
          <w:szCs w:val="24"/>
        </w:rPr>
        <w:t> </w:t>
      </w:r>
      <w:r w:rsidRPr="008346E0">
        <w:rPr>
          <w:szCs w:val="24"/>
        </w:rPr>
        <w:t>%</w:t>
      </w:r>
      <w:r w:rsidR="00EA384E">
        <w:rPr>
          <w:szCs w:val="24"/>
        </w:rPr>
        <w:t xml:space="preserve"> </w:t>
      </w:r>
      <w:r w:rsidRPr="008346E0">
        <w:rPr>
          <w:szCs w:val="24"/>
        </w:rPr>
        <w:t>kapacity) na kvalitu biom</w:t>
      </w:r>
      <w:r w:rsidR="00C0703E">
        <w:rPr>
          <w:szCs w:val="24"/>
        </w:rPr>
        <w:t>eta</w:t>
      </w:r>
      <w:r w:rsidRPr="008346E0">
        <w:rPr>
          <w:szCs w:val="24"/>
        </w:rPr>
        <w:t>nu</w:t>
      </w:r>
      <w:r w:rsidR="00EA384E">
        <w:rPr>
          <w:szCs w:val="24"/>
        </w:rPr>
        <w:t xml:space="preserve"> </w:t>
      </w:r>
      <w:r w:rsidRPr="008346E0">
        <w:rPr>
          <w:szCs w:val="24"/>
        </w:rPr>
        <w:t>zavedením technologie čištění bioplynu na kvalitu dle ČSN 65 6514 a</w:t>
      </w:r>
      <w:r w:rsidR="00EA384E">
        <w:rPr>
          <w:szCs w:val="24"/>
        </w:rPr>
        <w:t> </w:t>
      </w:r>
      <w:r w:rsidRPr="008346E0">
        <w:rPr>
          <w:szCs w:val="24"/>
        </w:rPr>
        <w:t xml:space="preserve">vtlačování do sítě standardního zemního plynu. Jako zásadní bude nutné dohodnout </w:t>
      </w:r>
      <w:proofErr w:type="spellStart"/>
      <w:r w:rsidRPr="008346E0">
        <w:rPr>
          <w:szCs w:val="24"/>
        </w:rPr>
        <w:t>rebilanci</w:t>
      </w:r>
      <w:proofErr w:type="spellEnd"/>
      <w:r w:rsidRPr="008346E0">
        <w:rPr>
          <w:szCs w:val="24"/>
        </w:rPr>
        <w:t xml:space="preserve"> vyrobeného bioplynu.</w:t>
      </w:r>
    </w:p>
    <w:p w:rsidR="008A2B1C" w:rsidRPr="008346E0" w:rsidRDefault="00A90965" w:rsidP="00D97F53">
      <w:pPr>
        <w:pStyle w:val="Standard"/>
        <w:spacing w:after="20"/>
        <w:rPr>
          <w:szCs w:val="24"/>
        </w:rPr>
      </w:pPr>
      <w:r w:rsidRPr="008346E0">
        <w:rPr>
          <w:szCs w:val="24"/>
        </w:rPr>
        <w:t>Pro splnění cílů legislativy RED</w:t>
      </w:r>
      <w:r w:rsidR="00971199">
        <w:rPr>
          <w:szCs w:val="24"/>
        </w:rPr>
        <w:t xml:space="preserve"> II do</w:t>
      </w:r>
      <w:r w:rsidRPr="008346E0">
        <w:rPr>
          <w:szCs w:val="24"/>
        </w:rPr>
        <w:t> roku 2030</w:t>
      </w:r>
      <w:r w:rsidR="00971199">
        <w:rPr>
          <w:szCs w:val="24"/>
        </w:rPr>
        <w:t xml:space="preserve"> </w:t>
      </w:r>
      <w:r w:rsidR="00971199" w:rsidRPr="008346E0">
        <w:rPr>
          <w:szCs w:val="24"/>
        </w:rPr>
        <w:t xml:space="preserve">bude </w:t>
      </w:r>
      <w:r w:rsidRPr="008346E0">
        <w:rPr>
          <w:szCs w:val="24"/>
        </w:rPr>
        <w:t>dále nutné:</w:t>
      </w:r>
    </w:p>
    <w:p w:rsidR="008A2B1C" w:rsidRPr="008346E0" w:rsidRDefault="00A90965" w:rsidP="00FD4C88">
      <w:pPr>
        <w:pStyle w:val="Standard"/>
        <w:numPr>
          <w:ilvl w:val="0"/>
          <w:numId w:val="54"/>
        </w:numPr>
        <w:spacing w:after="20"/>
        <w:ind w:left="357" w:hanging="357"/>
        <w:rPr>
          <w:szCs w:val="24"/>
        </w:rPr>
      </w:pPr>
      <w:r w:rsidRPr="008346E0">
        <w:rPr>
          <w:szCs w:val="24"/>
        </w:rPr>
        <w:t>aby transpozice schválené legislativy k RED II proběhla včas a dohodnutá dikce byla konzistentním názorem státu, zemědělského sektoru, výrobců biopaliv, výrobců a distributorů pohonných hmot pro dopravu a automobilového průmyslu. Vzhledem ke kompetencím ve státní správě by mohla být legislativa k</w:t>
      </w:r>
      <w:r w:rsidR="00C5576A">
        <w:rPr>
          <w:szCs w:val="24"/>
        </w:rPr>
        <w:t> </w:t>
      </w:r>
      <w:r w:rsidRPr="008346E0">
        <w:rPr>
          <w:szCs w:val="24"/>
        </w:rPr>
        <w:t>RED</w:t>
      </w:r>
      <w:r w:rsidR="00C5576A">
        <w:rPr>
          <w:szCs w:val="24"/>
        </w:rPr>
        <w:t> </w:t>
      </w:r>
      <w:r w:rsidRPr="008346E0">
        <w:rPr>
          <w:szCs w:val="24"/>
        </w:rPr>
        <w:t>II transponována prostřednictvím novely zákona o podpoře obnovitelných zdrojů a příslušného legislativního předpisu. Schválen by měl být nejpozději do 30. 6. 2021</w:t>
      </w:r>
      <w:r w:rsidR="00C5576A">
        <w:rPr>
          <w:szCs w:val="24"/>
        </w:rPr>
        <w:t>;</w:t>
      </w:r>
    </w:p>
    <w:p w:rsidR="008A2B1C" w:rsidRPr="008346E0" w:rsidRDefault="00A90965" w:rsidP="00FD4C88">
      <w:pPr>
        <w:pStyle w:val="Standard"/>
        <w:numPr>
          <w:ilvl w:val="0"/>
          <w:numId w:val="54"/>
        </w:numPr>
        <w:spacing w:after="20"/>
        <w:ind w:left="357" w:hanging="357"/>
        <w:rPr>
          <w:szCs w:val="24"/>
        </w:rPr>
      </w:pPr>
      <w:r w:rsidRPr="008346E0">
        <w:rPr>
          <w:szCs w:val="24"/>
        </w:rPr>
        <w:t>aby cíle RED II byly proporcionálně rozděleny na všechny dodavatele energie (plynárenský průmysl, průmysl výroby silničních paliv a biopaliv a výrobce elektřiny z OZE) pro dopravu a ve stejném poměru byl stanovena ekonomická podpora</w:t>
      </w:r>
      <w:r w:rsidR="00C5576A">
        <w:rPr>
          <w:szCs w:val="24"/>
        </w:rPr>
        <w:t>;</w:t>
      </w:r>
    </w:p>
    <w:p w:rsidR="008A2B1C" w:rsidRPr="008346E0" w:rsidRDefault="00A90965" w:rsidP="00FD4C88">
      <w:pPr>
        <w:pStyle w:val="Standard"/>
        <w:numPr>
          <w:ilvl w:val="0"/>
          <w:numId w:val="54"/>
        </w:numPr>
        <w:spacing w:after="20"/>
        <w:ind w:left="357" w:hanging="357"/>
        <w:rPr>
          <w:szCs w:val="24"/>
        </w:rPr>
      </w:pPr>
      <w:r w:rsidRPr="008346E0">
        <w:rPr>
          <w:szCs w:val="24"/>
        </w:rPr>
        <w:t>aby existovala smysluplná ekonomická podpora vedoucí k obnově autoparku vozidel a investiční podpora nových technologií pro výrobu vyspělých biopaliv HVO a BNG</w:t>
      </w:r>
      <w:r w:rsidR="00C5576A">
        <w:rPr>
          <w:szCs w:val="24"/>
        </w:rPr>
        <w:t>;</w:t>
      </w:r>
    </w:p>
    <w:p w:rsidR="008A2B1C" w:rsidRPr="008346E0" w:rsidRDefault="00A90965" w:rsidP="00FD4C88">
      <w:pPr>
        <w:pStyle w:val="Standard"/>
        <w:numPr>
          <w:ilvl w:val="0"/>
          <w:numId w:val="54"/>
        </w:numPr>
        <w:spacing w:after="20"/>
        <w:ind w:left="357" w:hanging="357"/>
        <w:rPr>
          <w:szCs w:val="24"/>
        </w:rPr>
      </w:pPr>
      <w:r w:rsidRPr="008346E0">
        <w:rPr>
          <w:szCs w:val="24"/>
        </w:rPr>
        <w:t>byl připraven program informací (sortiment a kvalita) o zařazení nových paliv na trh a</w:t>
      </w:r>
      <w:r w:rsidR="00C5576A">
        <w:rPr>
          <w:szCs w:val="24"/>
        </w:rPr>
        <w:t> </w:t>
      </w:r>
      <w:r w:rsidRPr="008346E0">
        <w:rPr>
          <w:szCs w:val="24"/>
        </w:rPr>
        <w:t>byla informována společnost</w:t>
      </w:r>
      <w:r w:rsidR="00C5576A">
        <w:rPr>
          <w:szCs w:val="24"/>
        </w:rPr>
        <w:t>;</w:t>
      </w:r>
    </w:p>
    <w:p w:rsidR="008A2B1C" w:rsidRPr="008346E0" w:rsidRDefault="00A90965" w:rsidP="00FD4C88">
      <w:pPr>
        <w:pStyle w:val="Standard"/>
        <w:numPr>
          <w:ilvl w:val="0"/>
          <w:numId w:val="54"/>
        </w:numPr>
        <w:spacing w:after="20"/>
        <w:ind w:left="357" w:hanging="357"/>
        <w:rPr>
          <w:szCs w:val="24"/>
        </w:rPr>
      </w:pPr>
      <w:r w:rsidRPr="008346E0">
        <w:rPr>
          <w:szCs w:val="24"/>
        </w:rPr>
        <w:t>z úrovně státních orgánů byla vybilancována surovinová základna (biomasa) pro výrobu vyspělých biopaliv a dodávky BNG pro dopravu</w:t>
      </w:r>
      <w:r w:rsidR="00C5576A">
        <w:rPr>
          <w:szCs w:val="24"/>
        </w:rPr>
        <w:t>;</w:t>
      </w:r>
    </w:p>
    <w:p w:rsidR="008A2B1C" w:rsidRPr="008346E0" w:rsidRDefault="00A90965" w:rsidP="00FD4C88">
      <w:pPr>
        <w:pStyle w:val="Standard"/>
        <w:numPr>
          <w:ilvl w:val="0"/>
          <w:numId w:val="54"/>
        </w:numPr>
        <w:spacing w:after="20"/>
        <w:ind w:left="357" w:hanging="357"/>
        <w:rPr>
          <w:szCs w:val="24"/>
        </w:rPr>
      </w:pPr>
      <w:r w:rsidRPr="008346E0">
        <w:rPr>
          <w:szCs w:val="24"/>
        </w:rPr>
        <w:t>byl vypracován politicko</w:t>
      </w:r>
      <w:r w:rsidR="00C5576A">
        <w:rPr>
          <w:szCs w:val="24"/>
        </w:rPr>
        <w:t>-</w:t>
      </w:r>
      <w:r w:rsidRPr="008346E0">
        <w:rPr>
          <w:szCs w:val="24"/>
        </w:rPr>
        <w:t>sociální program podpory RED II ze strany občanů a společnosti</w:t>
      </w:r>
      <w:r w:rsidR="00C5576A">
        <w:rPr>
          <w:szCs w:val="24"/>
        </w:rPr>
        <w:t>;</w:t>
      </w:r>
    </w:p>
    <w:p w:rsidR="008A2B1C" w:rsidRPr="008346E0" w:rsidRDefault="00A90965" w:rsidP="00FD4C88">
      <w:pPr>
        <w:pStyle w:val="Standard"/>
        <w:numPr>
          <w:ilvl w:val="0"/>
          <w:numId w:val="54"/>
        </w:numPr>
        <w:spacing w:after="20"/>
        <w:ind w:left="357" w:hanging="357"/>
        <w:rPr>
          <w:szCs w:val="24"/>
        </w:rPr>
      </w:pPr>
      <w:r w:rsidRPr="008346E0">
        <w:rPr>
          <w:szCs w:val="24"/>
        </w:rPr>
        <w:t xml:space="preserve">odhad dopadu epidemie </w:t>
      </w:r>
      <w:proofErr w:type="spellStart"/>
      <w:r w:rsidRPr="008346E0">
        <w:rPr>
          <w:szCs w:val="24"/>
        </w:rPr>
        <w:t>koronaviru</w:t>
      </w:r>
      <w:proofErr w:type="spellEnd"/>
      <w:r w:rsidRPr="008346E0">
        <w:rPr>
          <w:szCs w:val="24"/>
        </w:rPr>
        <w:t xml:space="preserve"> lze </w:t>
      </w:r>
      <w:r w:rsidR="00C5576A" w:rsidRPr="008346E0">
        <w:rPr>
          <w:szCs w:val="24"/>
        </w:rPr>
        <w:t xml:space="preserve">v této době </w:t>
      </w:r>
      <w:r w:rsidRPr="008346E0">
        <w:rPr>
          <w:szCs w:val="24"/>
        </w:rPr>
        <w:t xml:space="preserve">jen </w:t>
      </w:r>
      <w:r w:rsidR="00C5576A">
        <w:rPr>
          <w:szCs w:val="24"/>
        </w:rPr>
        <w:t xml:space="preserve">stěží </w:t>
      </w:r>
      <w:r w:rsidRPr="008346E0">
        <w:rPr>
          <w:szCs w:val="24"/>
        </w:rPr>
        <w:t>kvantifikovat, ale dojde k</w:t>
      </w:r>
      <w:r w:rsidR="00C5576A">
        <w:rPr>
          <w:szCs w:val="24"/>
        </w:rPr>
        <w:t> </w:t>
      </w:r>
      <w:r w:rsidRPr="008346E0">
        <w:rPr>
          <w:szCs w:val="24"/>
        </w:rPr>
        <w:t>poklesu prodejů silničních paliv</w:t>
      </w:r>
      <w:r w:rsidR="00C5576A">
        <w:rPr>
          <w:szCs w:val="24"/>
        </w:rPr>
        <w:t>,</w:t>
      </w:r>
      <w:r w:rsidRPr="008346E0">
        <w:rPr>
          <w:szCs w:val="24"/>
        </w:rPr>
        <w:t xml:space="preserve"> a tím i automaticky k lepší výchozí základně pro plnění cílů RED II</w:t>
      </w:r>
      <w:r w:rsidR="00C5576A">
        <w:rPr>
          <w:szCs w:val="24"/>
        </w:rPr>
        <w:t>;</w:t>
      </w:r>
    </w:p>
    <w:p w:rsidR="008A2B1C" w:rsidRPr="00C5576A" w:rsidRDefault="00A90965" w:rsidP="00B46127">
      <w:pPr>
        <w:pStyle w:val="Standard"/>
        <w:numPr>
          <w:ilvl w:val="0"/>
          <w:numId w:val="54"/>
        </w:numPr>
        <w:spacing w:after="60"/>
        <w:ind w:left="357" w:hanging="357"/>
        <w:rPr>
          <w:szCs w:val="24"/>
        </w:rPr>
      </w:pPr>
      <w:r w:rsidRPr="008346E0">
        <w:rPr>
          <w:szCs w:val="24"/>
        </w:rPr>
        <w:t>lze předpokládat, že dojde k potlačení podpory elektromobility z důvodu nákladovosti.</w:t>
      </w:r>
    </w:p>
    <w:p w:rsidR="00C5576A" w:rsidRDefault="00A90965" w:rsidP="00D97F53">
      <w:pPr>
        <w:pStyle w:val="Standard"/>
        <w:spacing w:after="20"/>
        <w:rPr>
          <w:szCs w:val="24"/>
        </w:rPr>
      </w:pPr>
      <w:r w:rsidRPr="008346E0">
        <w:rPr>
          <w:szCs w:val="24"/>
        </w:rPr>
        <w:t xml:space="preserve">I když lze velmi dobře předpokládat, že fosilní paliva pro silniční dopravu na bázi ropy budou dominovat na trhu ještě v letech 2035 až 2045, je nejvyšší čas, aby se společnosti a průmysl adaptovaly na významné změny představované přechodem na jiný typ energií pro dopravu. </w:t>
      </w:r>
    </w:p>
    <w:p w:rsidR="008A2B1C" w:rsidRPr="008346E0" w:rsidRDefault="00A90965" w:rsidP="00D97F53">
      <w:pPr>
        <w:pStyle w:val="Standard"/>
        <w:spacing w:after="20"/>
        <w:rPr>
          <w:szCs w:val="24"/>
        </w:rPr>
      </w:pPr>
      <w:r w:rsidRPr="008346E0">
        <w:rPr>
          <w:szCs w:val="24"/>
        </w:rPr>
        <w:t>Bude to znamenat jak změny technické, tak i změny sociální politiky.</w:t>
      </w:r>
    </w:p>
    <w:p w:rsidR="008A2B1C" w:rsidRPr="008346E0" w:rsidRDefault="00A90965" w:rsidP="00D97F53">
      <w:pPr>
        <w:pStyle w:val="Standard"/>
        <w:spacing w:after="20"/>
        <w:rPr>
          <w:szCs w:val="24"/>
        </w:rPr>
      </w:pPr>
      <w:r w:rsidRPr="008346E0">
        <w:rPr>
          <w:szCs w:val="24"/>
        </w:rPr>
        <w:t>Přechod na jiný zdroj energie v dopravě je systémovou změnou a bude znamenat i změnu myšlení a orientace motoristů. Realizace bude možná jen za jejich porozumění.</w:t>
      </w:r>
    </w:p>
    <w:p w:rsidR="008A2B1C" w:rsidRPr="008346E0" w:rsidRDefault="00A90965" w:rsidP="00D97F53">
      <w:pPr>
        <w:pStyle w:val="Standard"/>
        <w:spacing w:after="20"/>
        <w:rPr>
          <w:szCs w:val="24"/>
        </w:rPr>
      </w:pPr>
      <w:r w:rsidRPr="008346E0">
        <w:rPr>
          <w:szCs w:val="24"/>
        </w:rPr>
        <w:t>Přechod na jiný typ energie pro dopravu bude dlouhodobý a bude znamenat i obrovské investiční a sociální náklady na realizaci.</w:t>
      </w:r>
    </w:p>
    <w:p w:rsidR="008A2B1C" w:rsidRPr="008346E0" w:rsidRDefault="00A90965" w:rsidP="00D97F53">
      <w:pPr>
        <w:pStyle w:val="Standard"/>
        <w:spacing w:after="20"/>
        <w:rPr>
          <w:szCs w:val="24"/>
        </w:rPr>
      </w:pPr>
      <w:r w:rsidRPr="008346E0">
        <w:rPr>
          <w:szCs w:val="24"/>
        </w:rPr>
        <w:t>S ohledem na otevřenost zemí v Evropě musí celý proces změny probíhat koordinovaně, v</w:t>
      </w:r>
      <w:r w:rsidR="00C32EAE">
        <w:rPr>
          <w:szCs w:val="24"/>
        </w:rPr>
        <w:t> </w:t>
      </w:r>
      <w:r w:rsidRPr="008346E0">
        <w:rPr>
          <w:szCs w:val="24"/>
        </w:rPr>
        <w:t>dostatečném časovém rozmezí a s využitím dostupných vědeckých výsledků.</w:t>
      </w:r>
    </w:p>
    <w:p w:rsidR="00B46127" w:rsidRDefault="00B46127" w:rsidP="00D97F53">
      <w:pPr>
        <w:pStyle w:val="Standard"/>
        <w:spacing w:after="20"/>
        <w:rPr>
          <w:szCs w:val="24"/>
        </w:rPr>
      </w:pPr>
      <w:r>
        <w:rPr>
          <w:szCs w:val="24"/>
        </w:rPr>
        <w:br w:type="page"/>
      </w:r>
    </w:p>
    <w:p w:rsidR="00B46127" w:rsidRDefault="00B46127" w:rsidP="00D97F53">
      <w:pPr>
        <w:pStyle w:val="Standard"/>
        <w:spacing w:after="20"/>
        <w:rPr>
          <w:szCs w:val="24"/>
        </w:rPr>
      </w:pPr>
    </w:p>
    <w:p w:rsidR="008A2B1C" w:rsidRPr="008346E0" w:rsidRDefault="00A90965" w:rsidP="00D97F53">
      <w:pPr>
        <w:pStyle w:val="Standard"/>
        <w:spacing w:after="20"/>
        <w:rPr>
          <w:szCs w:val="24"/>
        </w:rPr>
      </w:pPr>
      <w:r w:rsidRPr="008346E0">
        <w:rPr>
          <w:szCs w:val="24"/>
        </w:rPr>
        <w:t>Vývoj alternativ se musí odvíjet od specifických podmínek jednotlivých zemí, zejména s ohledem na zdroje a technickou úroveň. Zvolené technologie musí být komplexně analyzovány a nesmí podlehnout politickým tlakům.</w:t>
      </w:r>
    </w:p>
    <w:p w:rsidR="008A2B1C" w:rsidRPr="008346E0" w:rsidRDefault="00A90965" w:rsidP="00D97F53">
      <w:pPr>
        <w:pStyle w:val="Standard"/>
        <w:spacing w:after="20"/>
        <w:rPr>
          <w:szCs w:val="24"/>
        </w:rPr>
      </w:pPr>
      <w:r w:rsidRPr="008346E0">
        <w:rPr>
          <w:szCs w:val="24"/>
        </w:rPr>
        <w:t>Společnost nemusí mít ani v dalekém horizontu sta let obavu z nedostatku energie. Už dnes jsou výzkumně ověřeny technologie výroby paliv a uhlovodíků na bázi CO2 a vodíku z elektrolýzy a vodíkových vyvíječů pro vozidla</w:t>
      </w:r>
      <w:r w:rsidR="00C32EAE">
        <w:rPr>
          <w:szCs w:val="24"/>
        </w:rPr>
        <w:t>,</w:t>
      </w:r>
      <w:r w:rsidRPr="008346E0">
        <w:rPr>
          <w:szCs w:val="24"/>
        </w:rPr>
        <w:t xml:space="preserve"> kde palivem je voda.</w:t>
      </w:r>
    </w:p>
    <w:p w:rsidR="008A2B1C" w:rsidRPr="008346E0" w:rsidRDefault="00A90965" w:rsidP="00C32EAE">
      <w:pPr>
        <w:pStyle w:val="Standard"/>
        <w:spacing w:after="60"/>
        <w:rPr>
          <w:szCs w:val="24"/>
        </w:rPr>
      </w:pPr>
      <w:r w:rsidRPr="008346E0">
        <w:rPr>
          <w:szCs w:val="24"/>
        </w:rPr>
        <w:t xml:space="preserve">Další perspektivní technologií je výroba </w:t>
      </w:r>
      <w:proofErr w:type="spellStart"/>
      <w:r w:rsidRPr="008346E0">
        <w:rPr>
          <w:szCs w:val="24"/>
        </w:rPr>
        <w:t>synplynu</w:t>
      </w:r>
      <w:proofErr w:type="spellEnd"/>
      <w:r w:rsidRPr="008346E0">
        <w:rPr>
          <w:szCs w:val="24"/>
        </w:rPr>
        <w:t xml:space="preserve"> redukcí CO2 na CO působením sluneční nebo elektrické energie na CO2 za přítomnosti katalyzátoru na bázi </w:t>
      </w:r>
      <w:proofErr w:type="spellStart"/>
      <w:r w:rsidRPr="008346E0">
        <w:rPr>
          <w:szCs w:val="24"/>
        </w:rPr>
        <w:t>nanografenu</w:t>
      </w:r>
      <w:proofErr w:type="spellEnd"/>
      <w:r w:rsidRPr="008346E0">
        <w:rPr>
          <w:szCs w:val="24"/>
        </w:rPr>
        <w:t xml:space="preserve"> a rhenia a</w:t>
      </w:r>
      <w:r w:rsidR="00C32EAE">
        <w:rPr>
          <w:szCs w:val="24"/>
        </w:rPr>
        <w:t> </w:t>
      </w:r>
      <w:r w:rsidRPr="008346E0">
        <w:rPr>
          <w:szCs w:val="24"/>
        </w:rPr>
        <w:t>následná výroba uhlovodíků FT syntézou.</w:t>
      </w:r>
    </w:p>
    <w:p w:rsidR="008A2B1C" w:rsidRPr="00C32EAE" w:rsidRDefault="00A90965">
      <w:pPr>
        <w:pStyle w:val="Standard"/>
        <w:rPr>
          <w:bCs/>
          <w:i/>
          <w:szCs w:val="24"/>
        </w:rPr>
      </w:pPr>
      <w:r w:rsidRPr="00C32EAE">
        <w:rPr>
          <w:bCs/>
          <w:i/>
          <w:szCs w:val="24"/>
        </w:rPr>
        <w:t>Aktuální řešení cílů</w:t>
      </w:r>
    </w:p>
    <w:p w:rsidR="008A2B1C" w:rsidRDefault="00A90965" w:rsidP="00C32EAE">
      <w:pPr>
        <w:pStyle w:val="Standard"/>
        <w:spacing w:after="80"/>
        <w:rPr>
          <w:bCs/>
          <w:iCs/>
          <w:szCs w:val="24"/>
        </w:rPr>
      </w:pPr>
      <w:r w:rsidRPr="00C32EAE">
        <w:rPr>
          <w:bCs/>
          <w:iCs/>
          <w:szCs w:val="24"/>
        </w:rPr>
        <w:t xml:space="preserve">Biopaliva </w:t>
      </w:r>
      <w:r w:rsidR="00C32EAE">
        <w:rPr>
          <w:bCs/>
          <w:iCs/>
          <w:szCs w:val="24"/>
        </w:rPr>
        <w:t>1</w:t>
      </w:r>
      <w:r w:rsidRPr="00C32EAE">
        <w:rPr>
          <w:bCs/>
          <w:iCs/>
          <w:szCs w:val="24"/>
        </w:rPr>
        <w:t>. generace s velmi nízkými emisemi na úrovni cca 10</w:t>
      </w:r>
      <w:r w:rsidR="00C32EAE">
        <w:rPr>
          <w:bCs/>
          <w:iCs/>
          <w:szCs w:val="24"/>
        </w:rPr>
        <w:t> </w:t>
      </w:r>
      <w:r w:rsidRPr="00C32EAE">
        <w:rPr>
          <w:bCs/>
          <w:iCs/>
          <w:szCs w:val="24"/>
        </w:rPr>
        <w:t>mg CO2/J (bio</w:t>
      </w:r>
      <w:r w:rsidR="00C0703E">
        <w:rPr>
          <w:bCs/>
          <w:iCs/>
          <w:szCs w:val="24"/>
        </w:rPr>
        <w:t>eta</w:t>
      </w:r>
      <w:r w:rsidRPr="00C32EAE">
        <w:rPr>
          <w:bCs/>
          <w:iCs/>
          <w:szCs w:val="24"/>
        </w:rPr>
        <w:t xml:space="preserve">nol, </w:t>
      </w:r>
      <w:proofErr w:type="spellStart"/>
      <w:r w:rsidRPr="002862A0">
        <w:rPr>
          <w:bCs/>
          <w:iCs/>
          <w:szCs w:val="24"/>
        </w:rPr>
        <w:t>bioET</w:t>
      </w:r>
      <w:r w:rsidR="00F64216" w:rsidRPr="002862A0">
        <w:rPr>
          <w:bCs/>
          <w:iCs/>
          <w:szCs w:val="24"/>
        </w:rPr>
        <w:t>B</w:t>
      </w:r>
      <w:r w:rsidRPr="002862A0">
        <w:rPr>
          <w:bCs/>
          <w:iCs/>
          <w:szCs w:val="24"/>
        </w:rPr>
        <w:t>E</w:t>
      </w:r>
      <w:proofErr w:type="spellEnd"/>
      <w:r w:rsidRPr="00C32EAE">
        <w:rPr>
          <w:bCs/>
          <w:iCs/>
          <w:szCs w:val="24"/>
        </w:rPr>
        <w:t xml:space="preserve"> a jejich směs a FAME/MEŘO) spolu </w:t>
      </w:r>
      <w:r w:rsidR="00C32EAE">
        <w:rPr>
          <w:bCs/>
          <w:iCs/>
          <w:szCs w:val="24"/>
        </w:rPr>
        <w:t xml:space="preserve">s </w:t>
      </w:r>
      <w:r w:rsidRPr="00C32EAE">
        <w:rPr>
          <w:bCs/>
          <w:iCs/>
          <w:szCs w:val="24"/>
        </w:rPr>
        <w:t xml:space="preserve">maximálním dávkováním do silničních paliv dle zákona o </w:t>
      </w:r>
      <w:r w:rsidR="00C32EAE">
        <w:rPr>
          <w:bCs/>
          <w:iCs/>
          <w:szCs w:val="24"/>
        </w:rPr>
        <w:t>o</w:t>
      </w:r>
      <w:r w:rsidRPr="00C32EAE">
        <w:rPr>
          <w:bCs/>
          <w:iCs/>
          <w:szCs w:val="24"/>
        </w:rPr>
        <w:t>chraně o</w:t>
      </w:r>
      <w:r w:rsidR="00C32EAE">
        <w:rPr>
          <w:bCs/>
          <w:iCs/>
          <w:szCs w:val="24"/>
        </w:rPr>
        <w:t>vz</w:t>
      </w:r>
      <w:r w:rsidRPr="00C32EAE">
        <w:rPr>
          <w:bCs/>
          <w:iCs/>
          <w:szCs w:val="24"/>
        </w:rPr>
        <w:t>duší dnes představují jedinou reálnou cestu k</w:t>
      </w:r>
      <w:r w:rsidR="00C32EAE">
        <w:rPr>
          <w:bCs/>
          <w:iCs/>
          <w:szCs w:val="24"/>
        </w:rPr>
        <w:t>e</w:t>
      </w:r>
      <w:r w:rsidRPr="00C32EAE">
        <w:rPr>
          <w:bCs/>
          <w:iCs/>
          <w:szCs w:val="24"/>
        </w:rPr>
        <w:t xml:space="preserve"> splnění národního cíle náhrady fosilní složky OZE ve výši minimálně 10 % a </w:t>
      </w:r>
      <w:r w:rsidR="00C32EAE">
        <w:rPr>
          <w:bCs/>
          <w:iCs/>
          <w:szCs w:val="24"/>
        </w:rPr>
        <w:t>přib</w:t>
      </w:r>
      <w:r w:rsidRPr="00C32EAE">
        <w:rPr>
          <w:bCs/>
          <w:iCs/>
          <w:szCs w:val="24"/>
        </w:rPr>
        <w:t>lížení se k 6% snížení emisí v</w:t>
      </w:r>
      <w:r w:rsidR="00C32EAE">
        <w:rPr>
          <w:bCs/>
          <w:iCs/>
          <w:szCs w:val="24"/>
        </w:rPr>
        <w:t> </w:t>
      </w:r>
      <w:r w:rsidRPr="00C32EAE">
        <w:rPr>
          <w:bCs/>
          <w:iCs/>
          <w:szCs w:val="24"/>
        </w:rPr>
        <w:t>roce</w:t>
      </w:r>
      <w:r w:rsidR="00C32EAE">
        <w:rPr>
          <w:bCs/>
          <w:iCs/>
          <w:szCs w:val="24"/>
        </w:rPr>
        <w:t xml:space="preserve"> </w:t>
      </w:r>
      <w:r w:rsidRPr="00C32EAE">
        <w:rPr>
          <w:bCs/>
          <w:iCs/>
          <w:szCs w:val="24"/>
        </w:rPr>
        <w:t>2020.</w:t>
      </w:r>
    </w:p>
    <w:p w:rsidR="008A2B1C" w:rsidRPr="00C32EAE" w:rsidRDefault="00A90965">
      <w:pPr>
        <w:pStyle w:val="Standard"/>
        <w:rPr>
          <w:bCs/>
          <w:i/>
          <w:szCs w:val="24"/>
        </w:rPr>
      </w:pPr>
      <w:r w:rsidRPr="00C32EAE">
        <w:rPr>
          <w:bCs/>
          <w:i/>
          <w:szCs w:val="24"/>
        </w:rPr>
        <w:t>Poznámka:</w:t>
      </w:r>
    </w:p>
    <w:p w:rsidR="008A2B1C" w:rsidRPr="00C32EAE" w:rsidRDefault="00A90965" w:rsidP="00C32EAE">
      <w:pPr>
        <w:pStyle w:val="Standard"/>
        <w:spacing w:after="20"/>
        <w:rPr>
          <w:bCs/>
          <w:iCs/>
          <w:szCs w:val="24"/>
        </w:rPr>
      </w:pPr>
      <w:r w:rsidRPr="00C32EAE">
        <w:rPr>
          <w:bCs/>
          <w:iCs/>
          <w:szCs w:val="24"/>
        </w:rPr>
        <w:t>Slovenská republika novelou zákona o spotřební dani zavedla s účinností od 1.</w:t>
      </w:r>
      <w:r w:rsidR="00C32EAE">
        <w:rPr>
          <w:bCs/>
          <w:iCs/>
          <w:szCs w:val="24"/>
        </w:rPr>
        <w:t> </w:t>
      </w:r>
      <w:r w:rsidRPr="00C32EAE">
        <w:rPr>
          <w:bCs/>
          <w:iCs/>
          <w:szCs w:val="24"/>
        </w:rPr>
        <w:t>1.</w:t>
      </w:r>
      <w:r w:rsidR="00C32EAE">
        <w:rPr>
          <w:bCs/>
          <w:iCs/>
          <w:szCs w:val="24"/>
        </w:rPr>
        <w:t> </w:t>
      </w:r>
      <w:r w:rsidRPr="00C32EAE">
        <w:rPr>
          <w:bCs/>
          <w:iCs/>
          <w:szCs w:val="24"/>
        </w:rPr>
        <w:t xml:space="preserve">2020 celoplošně výrobu automobilových benzinů s obsahem min. 9 % V/V </w:t>
      </w:r>
      <w:proofErr w:type="spellStart"/>
      <w:r w:rsidRPr="00C32EAE">
        <w:rPr>
          <w:bCs/>
          <w:iCs/>
          <w:szCs w:val="24"/>
        </w:rPr>
        <w:t>bio</w:t>
      </w:r>
      <w:r w:rsidR="00C0703E">
        <w:rPr>
          <w:bCs/>
          <w:iCs/>
          <w:szCs w:val="24"/>
        </w:rPr>
        <w:t>eta</w:t>
      </w:r>
      <w:r w:rsidRPr="00C32EAE">
        <w:rPr>
          <w:bCs/>
          <w:iCs/>
          <w:szCs w:val="24"/>
        </w:rPr>
        <w:t>nolové</w:t>
      </w:r>
      <w:proofErr w:type="spellEnd"/>
      <w:r w:rsidRPr="00C32EAE">
        <w:rPr>
          <w:bCs/>
          <w:iCs/>
          <w:szCs w:val="24"/>
        </w:rPr>
        <w:t xml:space="preserve"> složky a</w:t>
      </w:r>
      <w:r w:rsidR="00C32EAE">
        <w:rPr>
          <w:bCs/>
          <w:iCs/>
          <w:szCs w:val="24"/>
        </w:rPr>
        <w:t> </w:t>
      </w:r>
      <w:r w:rsidRPr="00C32EAE">
        <w:rPr>
          <w:bCs/>
          <w:iCs/>
          <w:szCs w:val="24"/>
        </w:rPr>
        <w:t>výrobu motorové nafty s obsahem min.  6,9 %</w:t>
      </w:r>
      <w:r w:rsidR="00C32EAE">
        <w:rPr>
          <w:bCs/>
          <w:iCs/>
          <w:szCs w:val="24"/>
        </w:rPr>
        <w:t> </w:t>
      </w:r>
      <w:r w:rsidRPr="00C32EAE">
        <w:rPr>
          <w:bCs/>
          <w:iCs/>
          <w:szCs w:val="24"/>
        </w:rPr>
        <w:t xml:space="preserve">V/V </w:t>
      </w:r>
      <w:proofErr w:type="spellStart"/>
      <w:r w:rsidRPr="00C32EAE">
        <w:rPr>
          <w:bCs/>
          <w:iCs/>
          <w:szCs w:val="24"/>
        </w:rPr>
        <w:t>biodieselu</w:t>
      </w:r>
      <w:proofErr w:type="spellEnd"/>
      <w:r w:rsidRPr="00C32EAE">
        <w:rPr>
          <w:bCs/>
          <w:iCs/>
          <w:szCs w:val="24"/>
        </w:rPr>
        <w:t xml:space="preserve"> (FAME/MEŘO).</w:t>
      </w:r>
    </w:p>
    <w:p w:rsidR="008A2B1C" w:rsidRDefault="00A90965">
      <w:pPr>
        <w:pStyle w:val="Standard"/>
        <w:rPr>
          <w:bCs/>
          <w:iCs/>
          <w:szCs w:val="24"/>
        </w:rPr>
      </w:pPr>
      <w:r w:rsidRPr="00C32EAE">
        <w:rPr>
          <w:bCs/>
          <w:iCs/>
          <w:szCs w:val="24"/>
        </w:rPr>
        <w:t>Formulace benzinu BA95 E10 obsahuje cca 8 % V</w:t>
      </w:r>
      <w:r w:rsidR="00C32EAE">
        <w:rPr>
          <w:bCs/>
          <w:iCs/>
          <w:szCs w:val="24"/>
        </w:rPr>
        <w:t>/</w:t>
      </w:r>
      <w:r w:rsidRPr="00C32EAE">
        <w:rPr>
          <w:bCs/>
          <w:iCs/>
          <w:szCs w:val="24"/>
        </w:rPr>
        <w:t>V bioetanolu a 3</w:t>
      </w:r>
      <w:r w:rsidR="00C32EAE">
        <w:rPr>
          <w:bCs/>
          <w:iCs/>
          <w:szCs w:val="24"/>
        </w:rPr>
        <w:t> </w:t>
      </w:r>
      <w:r w:rsidRPr="00C32EAE">
        <w:rPr>
          <w:bCs/>
          <w:iCs/>
          <w:szCs w:val="24"/>
        </w:rPr>
        <w:t>% V</w:t>
      </w:r>
      <w:r w:rsidR="00C32EAE">
        <w:rPr>
          <w:bCs/>
          <w:iCs/>
          <w:szCs w:val="24"/>
        </w:rPr>
        <w:t>/</w:t>
      </w:r>
      <w:r w:rsidRPr="00C32EAE">
        <w:rPr>
          <w:bCs/>
          <w:iCs/>
          <w:szCs w:val="24"/>
        </w:rPr>
        <w:t>V ETBE. Formulace benzinu BA98 Plus je 13 až 16,5 % V/V ETBE a 0 % bio</w:t>
      </w:r>
      <w:r w:rsidR="00C0703E">
        <w:rPr>
          <w:bCs/>
          <w:iCs/>
          <w:szCs w:val="24"/>
        </w:rPr>
        <w:t>eta</w:t>
      </w:r>
      <w:r w:rsidRPr="00C32EAE">
        <w:rPr>
          <w:bCs/>
          <w:iCs/>
          <w:szCs w:val="24"/>
        </w:rPr>
        <w:t>nolu.</w:t>
      </w:r>
    </w:p>
    <w:p w:rsidR="00D7226E" w:rsidRDefault="00D7226E">
      <w:pPr>
        <w:pStyle w:val="Standard"/>
        <w:rPr>
          <w:bCs/>
          <w:iCs/>
          <w:szCs w:val="24"/>
        </w:rPr>
        <w:sectPr w:rsidR="00D7226E" w:rsidSect="00B13A3F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endnotePr>
            <w:numFmt w:val="decimal"/>
          </w:endnotePr>
          <w:pgSz w:w="11906" w:h="16838"/>
          <w:pgMar w:top="1418" w:right="1418" w:bottom="1418" w:left="1418" w:header="709" w:footer="709" w:gutter="0"/>
          <w:cols w:space="708"/>
          <w:titlePg/>
          <w:docGrid w:linePitch="299"/>
        </w:sectPr>
      </w:pPr>
    </w:p>
    <w:p w:rsidR="00CE27DD" w:rsidRDefault="00CE27DD">
      <w:pPr>
        <w:pStyle w:val="Standard"/>
        <w:rPr>
          <w:bCs/>
          <w:iCs/>
          <w:szCs w:val="24"/>
        </w:rPr>
      </w:pPr>
    </w:p>
    <w:p w:rsidR="00947B20" w:rsidRPr="00CE27DD" w:rsidRDefault="00947B20" w:rsidP="00CE27DD">
      <w:pPr>
        <w:pStyle w:val="Nadpis2"/>
        <w:tabs>
          <w:tab w:val="clear" w:pos="94"/>
          <w:tab w:val="left" w:pos="454"/>
        </w:tabs>
        <w:overflowPunct w:val="0"/>
        <w:autoSpaceDE w:val="0"/>
      </w:pPr>
      <w:bookmarkStart w:id="51" w:name="_Toc38019661"/>
      <w:bookmarkStart w:id="52" w:name="_Toc38019724"/>
      <w:bookmarkStart w:id="53" w:name="_Toc38023736"/>
      <w:r w:rsidRPr="00CE27DD">
        <w:t>Příloha</w:t>
      </w:r>
      <w:bookmarkEnd w:id="51"/>
      <w:bookmarkEnd w:id="52"/>
      <w:bookmarkEnd w:id="53"/>
    </w:p>
    <w:p w:rsidR="00947B20" w:rsidRPr="00CE27DD" w:rsidRDefault="00947B20" w:rsidP="00CE27DD">
      <w:pPr>
        <w:pStyle w:val="Odstavecseseznamem"/>
        <w:widowControl/>
        <w:tabs>
          <w:tab w:val="left" w:pos="284"/>
        </w:tabs>
        <w:spacing w:after="120"/>
        <w:ind w:left="0"/>
        <w:jc w:val="left"/>
        <w:rPr>
          <w:sz w:val="26"/>
          <w:szCs w:val="26"/>
        </w:rPr>
      </w:pPr>
      <w:r w:rsidRPr="00CE27DD">
        <w:rPr>
          <w:sz w:val="26"/>
          <w:szCs w:val="26"/>
        </w:rPr>
        <w:t>Sortiment motorových paliv pro silniční dopravu</w:t>
      </w:r>
    </w:p>
    <w:p w:rsidR="00947B20" w:rsidRPr="00FB317F" w:rsidRDefault="00947B20" w:rsidP="005D56C1">
      <w:pPr>
        <w:pStyle w:val="Odstavecseseznamem"/>
        <w:widowControl/>
        <w:tabs>
          <w:tab w:val="left" w:pos="284"/>
        </w:tabs>
        <w:ind w:left="0"/>
        <w:rPr>
          <w:sz w:val="22"/>
        </w:rPr>
      </w:pPr>
      <w:r w:rsidRPr="00FB317F">
        <w:rPr>
          <w:sz w:val="22"/>
        </w:rPr>
        <w:t>Definice: Uvedená paliva jsou určena pro pohon silničních vozidel a strojů se spalovacím motorem (zážehové a vznětové motory).</w:t>
      </w:r>
    </w:p>
    <w:p w:rsidR="00D7226E" w:rsidRDefault="00947B20" w:rsidP="00E944BE">
      <w:pPr>
        <w:pStyle w:val="Odstavecseseznamem"/>
        <w:widowControl/>
        <w:tabs>
          <w:tab w:val="left" w:pos="284"/>
        </w:tabs>
        <w:spacing w:after="120"/>
        <w:ind w:left="0"/>
        <w:jc w:val="left"/>
        <w:rPr>
          <w:sz w:val="22"/>
        </w:rPr>
      </w:pPr>
      <w:r w:rsidRPr="00FB317F">
        <w:rPr>
          <w:sz w:val="22"/>
        </w:rPr>
        <w:t>Datum: k 1.</w:t>
      </w:r>
      <w:r w:rsidR="005D56C1">
        <w:rPr>
          <w:sz w:val="22"/>
        </w:rPr>
        <w:t xml:space="preserve"> </w:t>
      </w:r>
      <w:r w:rsidRPr="00FB317F">
        <w:rPr>
          <w:sz w:val="22"/>
        </w:rPr>
        <w:t>1.</w:t>
      </w:r>
      <w:r w:rsidR="005D56C1">
        <w:rPr>
          <w:sz w:val="22"/>
        </w:rPr>
        <w:t xml:space="preserve"> </w:t>
      </w:r>
      <w:r w:rsidRPr="00FB317F">
        <w:rPr>
          <w:sz w:val="22"/>
        </w:rPr>
        <w:t>2020</w:t>
      </w:r>
    </w:p>
    <w:tbl>
      <w:tblPr>
        <w:tblStyle w:val="Tabulkasmkou4zvraznn3"/>
        <w:tblW w:w="14170" w:type="dxa"/>
        <w:tblLayout w:type="fixed"/>
        <w:tblLook w:val="04A0" w:firstRow="1" w:lastRow="0" w:firstColumn="1" w:lastColumn="0" w:noHBand="0" w:noVBand="1"/>
      </w:tblPr>
      <w:tblGrid>
        <w:gridCol w:w="4106"/>
        <w:gridCol w:w="2126"/>
        <w:gridCol w:w="3969"/>
        <w:gridCol w:w="3969"/>
      </w:tblGrid>
      <w:tr w:rsidR="00E944BE" w:rsidTr="00507F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vAlign w:val="center"/>
          </w:tcPr>
          <w:p w:rsidR="00E944BE" w:rsidRPr="000F11D7" w:rsidRDefault="00E944BE" w:rsidP="00E944BE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0F11D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název</w:t>
            </w:r>
          </w:p>
        </w:tc>
        <w:tc>
          <w:tcPr>
            <w:tcW w:w="2126" w:type="dxa"/>
            <w:vAlign w:val="center"/>
          </w:tcPr>
          <w:p w:rsidR="00E944BE" w:rsidRPr="000F11D7" w:rsidRDefault="00E944BE" w:rsidP="00E944B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0F11D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technická norma</w:t>
            </w:r>
          </w:p>
        </w:tc>
        <w:tc>
          <w:tcPr>
            <w:tcW w:w="3969" w:type="dxa"/>
            <w:vAlign w:val="center"/>
          </w:tcPr>
          <w:p w:rsidR="00E944BE" w:rsidRPr="000F11D7" w:rsidRDefault="00E944BE" w:rsidP="00E944B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0F11D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charakteristika</w:t>
            </w:r>
          </w:p>
        </w:tc>
        <w:tc>
          <w:tcPr>
            <w:tcW w:w="3969" w:type="dxa"/>
            <w:vAlign w:val="center"/>
          </w:tcPr>
          <w:p w:rsidR="00E944BE" w:rsidRPr="000F11D7" w:rsidRDefault="00E944BE" w:rsidP="00E944B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0F11D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použití</w:t>
            </w:r>
          </w:p>
        </w:tc>
      </w:tr>
      <w:tr w:rsidR="00E944BE" w:rsidTr="00E944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0" w:type="dxa"/>
            <w:gridSpan w:val="4"/>
            <w:vAlign w:val="center"/>
          </w:tcPr>
          <w:p w:rsidR="00E944BE" w:rsidRPr="000F11D7" w:rsidRDefault="00E944BE" w:rsidP="00E944BE">
            <w:pPr>
              <w:pStyle w:val="Odstavecseseznamem"/>
              <w:tabs>
                <w:tab w:val="left" w:pos="284"/>
              </w:tabs>
              <w:spacing w:after="60"/>
              <w:ind w:left="0"/>
              <w:jc w:val="left"/>
              <w:rPr>
                <w:sz w:val="20"/>
                <w:szCs w:val="20"/>
              </w:rPr>
            </w:pPr>
            <w:r w:rsidRPr="000F11D7">
              <w:rPr>
                <w:sz w:val="20"/>
                <w:szCs w:val="20"/>
              </w:rPr>
              <w:t>A) Fosilní paliva – běžné komerční produkty</w:t>
            </w:r>
          </w:p>
        </w:tc>
      </w:tr>
      <w:tr w:rsidR="00E944BE" w:rsidTr="00E944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:rsidR="00E944BE" w:rsidRPr="004665E4" w:rsidRDefault="00E944BE" w:rsidP="00E944BE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4665E4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Motorové automobilové benziny E0 a E5</w:t>
            </w:r>
          </w:p>
        </w:tc>
        <w:tc>
          <w:tcPr>
            <w:tcW w:w="2126" w:type="dxa"/>
          </w:tcPr>
          <w:p w:rsidR="00E944BE" w:rsidRPr="00FA5523" w:rsidRDefault="00E944BE" w:rsidP="00E944BE">
            <w:pPr>
              <w:pStyle w:val="Odstavecseseznamem"/>
              <w:tabs>
                <w:tab w:val="left" w:pos="284"/>
              </w:tabs>
              <w:spacing w:after="60"/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A5523">
              <w:rPr>
                <w:sz w:val="20"/>
                <w:szCs w:val="20"/>
              </w:rPr>
              <w:t>ČSN EN 228+A1</w:t>
            </w:r>
          </w:p>
        </w:tc>
        <w:tc>
          <w:tcPr>
            <w:tcW w:w="3969" w:type="dxa"/>
          </w:tcPr>
          <w:p w:rsidR="00E944BE" w:rsidRPr="000F11D7" w:rsidRDefault="00E944BE" w:rsidP="00E944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A5523">
              <w:rPr>
                <w:rFonts w:ascii="Times New Roman" w:hAnsi="Times New Roman" w:cs="Times New Roman"/>
                <w:sz w:val="20"/>
                <w:szCs w:val="20"/>
              </w:rPr>
              <w:t>směs uhlovodíků C5 až C6 s OČ 95 nebo OČ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FA5523">
              <w:rPr>
                <w:rFonts w:ascii="Times New Roman" w:hAnsi="Times New Roman" w:cs="Times New Roman"/>
                <w:sz w:val="20"/>
                <w:szCs w:val="20"/>
              </w:rPr>
              <w:t>98 a více 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FA5523">
              <w:rPr>
                <w:rFonts w:ascii="Times New Roman" w:hAnsi="Times New Roman" w:cs="Times New Roman"/>
                <w:sz w:val="20"/>
                <w:szCs w:val="20"/>
              </w:rPr>
              <w:t>obsa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 w:rsidRPr="00FA5523">
              <w:rPr>
                <w:rFonts w:ascii="Times New Roman" w:hAnsi="Times New Roman" w:cs="Times New Roman"/>
                <w:sz w:val="20"/>
                <w:szCs w:val="20"/>
              </w:rPr>
              <w:t>em bio</w:t>
            </w:r>
            <w:r w:rsidR="00C0703E">
              <w:rPr>
                <w:rFonts w:ascii="Times New Roman" w:hAnsi="Times New Roman" w:cs="Times New Roman"/>
                <w:sz w:val="20"/>
                <w:szCs w:val="20"/>
              </w:rPr>
              <w:t>eta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nol</w:t>
            </w:r>
            <w:r w:rsidRPr="00FA5523">
              <w:rPr>
                <w:rFonts w:ascii="Times New Roman" w:hAnsi="Times New Roman" w:cs="Times New Roman"/>
                <w:sz w:val="20"/>
                <w:szCs w:val="20"/>
              </w:rPr>
              <w:t>u nebo ETBE či směsi bio</w:t>
            </w:r>
            <w:r w:rsidR="00C0703E">
              <w:rPr>
                <w:rFonts w:ascii="Times New Roman" w:hAnsi="Times New Roman" w:cs="Times New Roman"/>
                <w:sz w:val="20"/>
                <w:szCs w:val="20"/>
              </w:rPr>
              <w:t>eta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nol</w:t>
            </w:r>
            <w:r w:rsidRPr="00FA5523">
              <w:rPr>
                <w:rFonts w:ascii="Times New Roman" w:hAnsi="Times New Roman" w:cs="Times New Roman"/>
                <w:sz w:val="20"/>
                <w:szCs w:val="20"/>
              </w:rPr>
              <w:t>u a ETBE s celkovým obsahem kyslíku 2,7 %</w:t>
            </w:r>
            <w:r w:rsidR="002862A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5523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="002862A0">
              <w:rPr>
                <w:rFonts w:ascii="Times New Roman" w:hAnsi="Times New Roman" w:cs="Times New Roman"/>
                <w:sz w:val="20"/>
                <w:szCs w:val="20"/>
              </w:rPr>
              <w:t>/m</w:t>
            </w:r>
            <w:r w:rsidRPr="00FA5523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3969" w:type="dxa"/>
          </w:tcPr>
          <w:p w:rsidR="00E944BE" w:rsidRPr="000F11D7" w:rsidRDefault="00E944BE" w:rsidP="00E944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76C6">
              <w:rPr>
                <w:rFonts w:ascii="Times New Roman" w:hAnsi="Times New Roman" w:cs="Times New Roman"/>
                <w:sz w:val="20"/>
                <w:szCs w:val="20"/>
              </w:rPr>
              <w:t xml:space="preserve">palivo pro zážehové spalovací motory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osobních automobilů</w:t>
            </w:r>
            <w:r w:rsidRPr="005476C6">
              <w:rPr>
                <w:rFonts w:ascii="Times New Roman" w:hAnsi="Times New Roman" w:cs="Times New Roman"/>
                <w:sz w:val="20"/>
                <w:szCs w:val="20"/>
              </w:rPr>
              <w:t xml:space="preserve"> a malých aut</w:t>
            </w:r>
          </w:p>
        </w:tc>
      </w:tr>
      <w:tr w:rsidR="00E944BE" w:rsidTr="00E944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:rsidR="00E944BE" w:rsidRPr="004665E4" w:rsidRDefault="00E944BE" w:rsidP="00E944BE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4665E4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Motorové nafty s B0 až B7</w:t>
            </w:r>
          </w:p>
        </w:tc>
        <w:tc>
          <w:tcPr>
            <w:tcW w:w="2126" w:type="dxa"/>
          </w:tcPr>
          <w:p w:rsidR="00E944BE" w:rsidRPr="000F11D7" w:rsidRDefault="00E944BE" w:rsidP="00E944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76C6">
              <w:rPr>
                <w:rFonts w:ascii="Times New Roman" w:hAnsi="Times New Roman" w:cs="Times New Roman"/>
                <w:sz w:val="20"/>
                <w:szCs w:val="20"/>
              </w:rPr>
              <w:t>ČSN EN 589+A1</w:t>
            </w:r>
          </w:p>
        </w:tc>
        <w:tc>
          <w:tcPr>
            <w:tcW w:w="3969" w:type="dxa"/>
          </w:tcPr>
          <w:p w:rsidR="00E944BE" w:rsidRPr="005476C6" w:rsidRDefault="00E944BE" w:rsidP="00E944BE">
            <w:pPr>
              <w:pStyle w:val="Odstavecseseznamem"/>
              <w:tabs>
                <w:tab w:val="left" w:pos="284"/>
              </w:tabs>
              <w:spacing w:after="60"/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476C6">
              <w:rPr>
                <w:sz w:val="20"/>
                <w:szCs w:val="20"/>
              </w:rPr>
              <w:t xml:space="preserve">směs uhlovodíků vroucí od 180 do 370 </w:t>
            </w:r>
            <w:r>
              <w:rPr>
                <w:sz w:val="20"/>
                <w:szCs w:val="20"/>
              </w:rPr>
              <w:t>°</w:t>
            </w:r>
            <w:r w:rsidRPr="005476C6">
              <w:rPr>
                <w:sz w:val="20"/>
                <w:szCs w:val="20"/>
              </w:rPr>
              <w:t>C a</w:t>
            </w:r>
            <w:r>
              <w:rPr>
                <w:sz w:val="20"/>
                <w:szCs w:val="20"/>
              </w:rPr>
              <w:t> </w:t>
            </w:r>
            <w:r w:rsidRPr="005476C6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 </w:t>
            </w:r>
            <w:r w:rsidRPr="005476C6">
              <w:rPr>
                <w:sz w:val="20"/>
                <w:szCs w:val="20"/>
              </w:rPr>
              <w:t>obsahem polycyklických aromatických sloučenin do 11</w:t>
            </w:r>
            <w:r>
              <w:rPr>
                <w:sz w:val="20"/>
                <w:szCs w:val="20"/>
              </w:rPr>
              <w:t> </w:t>
            </w:r>
            <w:r w:rsidRPr="005476C6">
              <w:rPr>
                <w:sz w:val="20"/>
                <w:szCs w:val="20"/>
              </w:rPr>
              <w:t>% m/m</w:t>
            </w:r>
            <w:r>
              <w:rPr>
                <w:sz w:val="20"/>
                <w:szCs w:val="20"/>
              </w:rPr>
              <w:t>; O</w:t>
            </w:r>
            <w:r w:rsidRPr="005476C6">
              <w:rPr>
                <w:sz w:val="20"/>
                <w:szCs w:val="20"/>
              </w:rPr>
              <w:t>Č min. 51 a obsah FAME anebo MEŘO max. 7 %</w:t>
            </w:r>
            <w:r>
              <w:rPr>
                <w:sz w:val="20"/>
                <w:szCs w:val="20"/>
              </w:rPr>
              <w:t> </w:t>
            </w:r>
            <w:r w:rsidRPr="005476C6">
              <w:rPr>
                <w:sz w:val="20"/>
                <w:szCs w:val="20"/>
              </w:rPr>
              <w:t>V/V</w:t>
            </w:r>
          </w:p>
        </w:tc>
        <w:tc>
          <w:tcPr>
            <w:tcW w:w="3969" w:type="dxa"/>
          </w:tcPr>
          <w:p w:rsidR="00E944BE" w:rsidRPr="000F11D7" w:rsidRDefault="00E944BE" w:rsidP="00E944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76C6">
              <w:rPr>
                <w:rFonts w:ascii="Times New Roman" w:hAnsi="Times New Roman" w:cs="Times New Roman"/>
                <w:sz w:val="20"/>
                <w:szCs w:val="20"/>
              </w:rPr>
              <w:t>palivo pro vznětové spalovací motory</w:t>
            </w:r>
          </w:p>
        </w:tc>
      </w:tr>
      <w:tr w:rsidR="00E944BE" w:rsidTr="00E944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:rsidR="00E944BE" w:rsidRPr="004665E4" w:rsidRDefault="00E944BE" w:rsidP="00E944BE">
            <w:pPr>
              <w:pStyle w:val="Odstavecseseznamem"/>
              <w:tabs>
                <w:tab w:val="left" w:pos="284"/>
              </w:tabs>
              <w:spacing w:after="60"/>
              <w:ind w:left="0"/>
              <w:jc w:val="left"/>
              <w:rPr>
                <w:b w:val="0"/>
                <w:bCs w:val="0"/>
                <w:sz w:val="20"/>
                <w:szCs w:val="20"/>
              </w:rPr>
            </w:pPr>
            <w:r w:rsidRPr="004665E4">
              <w:rPr>
                <w:b w:val="0"/>
                <w:bCs w:val="0"/>
                <w:sz w:val="20"/>
                <w:szCs w:val="20"/>
              </w:rPr>
              <w:t>Zkapalněné ropné plyny (LPG)</w:t>
            </w:r>
          </w:p>
        </w:tc>
        <w:tc>
          <w:tcPr>
            <w:tcW w:w="2126" w:type="dxa"/>
          </w:tcPr>
          <w:p w:rsidR="00E944BE" w:rsidRPr="007007F9" w:rsidRDefault="00E944BE" w:rsidP="00E944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07F9">
              <w:rPr>
                <w:rFonts w:ascii="Times New Roman" w:hAnsi="Times New Roman" w:cs="Times New Roman"/>
                <w:sz w:val="20"/>
                <w:szCs w:val="20"/>
              </w:rPr>
              <w:t>ČSN EN 590+A1</w:t>
            </w:r>
          </w:p>
        </w:tc>
        <w:tc>
          <w:tcPr>
            <w:tcW w:w="3969" w:type="dxa"/>
          </w:tcPr>
          <w:p w:rsidR="00E944BE" w:rsidRPr="007007F9" w:rsidRDefault="00E944BE" w:rsidP="00E944BE">
            <w:pPr>
              <w:pStyle w:val="Odstavecseseznamem"/>
              <w:tabs>
                <w:tab w:val="left" w:pos="284"/>
              </w:tabs>
              <w:spacing w:after="60"/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007F9">
              <w:rPr>
                <w:sz w:val="20"/>
                <w:szCs w:val="20"/>
              </w:rPr>
              <w:t>směs uhlovodíků C3 a C4 s OČ cca 110</w:t>
            </w:r>
          </w:p>
        </w:tc>
        <w:tc>
          <w:tcPr>
            <w:tcW w:w="3969" w:type="dxa"/>
          </w:tcPr>
          <w:p w:rsidR="00E944BE" w:rsidRPr="007007F9" w:rsidRDefault="00E944BE" w:rsidP="00E944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07F9">
              <w:rPr>
                <w:rFonts w:ascii="Times New Roman" w:hAnsi="Times New Roman" w:cs="Times New Roman"/>
                <w:sz w:val="20"/>
                <w:szCs w:val="20"/>
              </w:rPr>
              <w:t>palivo pro zážehové spalovací motory</w:t>
            </w:r>
          </w:p>
        </w:tc>
      </w:tr>
      <w:tr w:rsidR="00E944BE" w:rsidRPr="007007F9" w:rsidTr="00E944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:rsidR="00E944BE" w:rsidRPr="004665E4" w:rsidRDefault="00E944BE" w:rsidP="00E944BE">
            <w:pPr>
              <w:pStyle w:val="Odstavecseseznamem"/>
              <w:tabs>
                <w:tab w:val="left" w:pos="284"/>
              </w:tabs>
              <w:spacing w:after="60"/>
              <w:ind w:left="0"/>
              <w:jc w:val="left"/>
              <w:rPr>
                <w:b w:val="0"/>
                <w:bCs w:val="0"/>
                <w:sz w:val="20"/>
                <w:szCs w:val="20"/>
              </w:rPr>
            </w:pPr>
            <w:r w:rsidRPr="004665E4">
              <w:rPr>
                <w:b w:val="0"/>
                <w:bCs w:val="0"/>
                <w:sz w:val="20"/>
                <w:szCs w:val="20"/>
              </w:rPr>
              <w:t>Stlačený zemní plyn (CNG)</w:t>
            </w:r>
          </w:p>
        </w:tc>
        <w:tc>
          <w:tcPr>
            <w:tcW w:w="2126" w:type="dxa"/>
          </w:tcPr>
          <w:p w:rsidR="00E944BE" w:rsidRPr="007007F9" w:rsidRDefault="00E944BE" w:rsidP="00E944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07F9">
              <w:rPr>
                <w:rFonts w:ascii="Times New Roman" w:hAnsi="Times New Roman" w:cs="Times New Roman"/>
                <w:sz w:val="20"/>
                <w:szCs w:val="20"/>
              </w:rPr>
              <w:t>ČSN EN 16723</w:t>
            </w:r>
          </w:p>
        </w:tc>
        <w:tc>
          <w:tcPr>
            <w:tcW w:w="3969" w:type="dxa"/>
          </w:tcPr>
          <w:p w:rsidR="00E944BE" w:rsidRPr="007007F9" w:rsidRDefault="00E944BE" w:rsidP="00E944BE">
            <w:pPr>
              <w:pStyle w:val="Odstavecseseznamem"/>
              <w:tabs>
                <w:tab w:val="left" w:pos="284"/>
              </w:tabs>
              <w:spacing w:after="60"/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007F9">
              <w:rPr>
                <w:sz w:val="20"/>
                <w:szCs w:val="20"/>
              </w:rPr>
              <w:t>převážně m</w:t>
            </w:r>
            <w:r w:rsidR="00C0703E">
              <w:rPr>
                <w:sz w:val="20"/>
                <w:szCs w:val="20"/>
              </w:rPr>
              <w:t>eta</w:t>
            </w:r>
            <w:r w:rsidRPr="007007F9">
              <w:rPr>
                <w:sz w:val="20"/>
                <w:szCs w:val="20"/>
              </w:rPr>
              <w:t xml:space="preserve">n min. </w:t>
            </w:r>
            <w:r w:rsidR="002862A0">
              <w:rPr>
                <w:sz w:val="20"/>
                <w:szCs w:val="20"/>
              </w:rPr>
              <w:t>90 %</w:t>
            </w:r>
          </w:p>
        </w:tc>
        <w:tc>
          <w:tcPr>
            <w:tcW w:w="3969" w:type="dxa"/>
          </w:tcPr>
          <w:p w:rsidR="00E944BE" w:rsidRPr="007007F9" w:rsidRDefault="00E944BE" w:rsidP="00E944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07F9">
              <w:rPr>
                <w:rFonts w:ascii="Times New Roman" w:hAnsi="Times New Roman" w:cs="Times New Roman"/>
                <w:sz w:val="20"/>
                <w:szCs w:val="20"/>
              </w:rPr>
              <w:t>palivo pro zážehové spalovací motory</w:t>
            </w:r>
          </w:p>
        </w:tc>
      </w:tr>
      <w:tr w:rsidR="00E944BE" w:rsidRPr="007007F9" w:rsidTr="00E944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:rsidR="00E944BE" w:rsidRPr="004665E4" w:rsidRDefault="00E944BE" w:rsidP="00E944BE">
            <w:pPr>
              <w:pStyle w:val="Odstavecseseznamem"/>
              <w:tabs>
                <w:tab w:val="left" w:pos="284"/>
              </w:tabs>
              <w:spacing w:after="60"/>
              <w:ind w:left="0"/>
              <w:jc w:val="left"/>
              <w:rPr>
                <w:b w:val="0"/>
                <w:bCs w:val="0"/>
                <w:sz w:val="20"/>
                <w:szCs w:val="20"/>
              </w:rPr>
            </w:pPr>
            <w:r w:rsidRPr="004665E4">
              <w:rPr>
                <w:b w:val="0"/>
                <w:bCs w:val="0"/>
                <w:sz w:val="20"/>
                <w:szCs w:val="20"/>
              </w:rPr>
              <w:t>Palivo E85</w:t>
            </w:r>
          </w:p>
        </w:tc>
        <w:tc>
          <w:tcPr>
            <w:tcW w:w="2126" w:type="dxa"/>
          </w:tcPr>
          <w:p w:rsidR="00E944BE" w:rsidRDefault="00E944BE" w:rsidP="00E944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07F9">
              <w:rPr>
                <w:rFonts w:ascii="Times New Roman" w:hAnsi="Times New Roman" w:cs="Times New Roman"/>
                <w:sz w:val="20"/>
                <w:szCs w:val="20"/>
              </w:rPr>
              <w:t>EN 15293</w:t>
            </w:r>
          </w:p>
          <w:p w:rsidR="00E944BE" w:rsidRPr="007007F9" w:rsidRDefault="00E944BE" w:rsidP="00E944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07F9">
              <w:rPr>
                <w:rFonts w:ascii="Times New Roman" w:hAnsi="Times New Roman" w:cs="Times New Roman"/>
                <w:sz w:val="20"/>
                <w:szCs w:val="20"/>
              </w:rPr>
              <w:t xml:space="preserve">(ČSN EN 65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7007F9">
              <w:rPr>
                <w:rFonts w:ascii="Times New Roman" w:hAnsi="Times New Roman" w:cs="Times New Roman"/>
                <w:sz w:val="20"/>
                <w:szCs w:val="20"/>
              </w:rPr>
              <w:t>513)</w:t>
            </w:r>
          </w:p>
        </w:tc>
        <w:tc>
          <w:tcPr>
            <w:tcW w:w="3969" w:type="dxa"/>
          </w:tcPr>
          <w:p w:rsidR="00E944BE" w:rsidRPr="007007F9" w:rsidRDefault="00E944BE" w:rsidP="00E944BE">
            <w:pPr>
              <w:pStyle w:val="Odstavecseseznamem"/>
              <w:tabs>
                <w:tab w:val="left" w:pos="284"/>
              </w:tabs>
              <w:spacing w:after="60"/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007F9">
              <w:rPr>
                <w:sz w:val="20"/>
                <w:szCs w:val="20"/>
              </w:rPr>
              <w:t>směs 85</w:t>
            </w:r>
            <w:r>
              <w:rPr>
                <w:sz w:val="20"/>
                <w:szCs w:val="20"/>
              </w:rPr>
              <w:t> </w:t>
            </w:r>
            <w:r w:rsidRPr="007007F9">
              <w:rPr>
                <w:sz w:val="20"/>
                <w:szCs w:val="20"/>
              </w:rPr>
              <w:t>% bio</w:t>
            </w:r>
            <w:r w:rsidR="00C0703E">
              <w:rPr>
                <w:sz w:val="20"/>
                <w:szCs w:val="20"/>
              </w:rPr>
              <w:t>eta</w:t>
            </w:r>
            <w:r>
              <w:rPr>
                <w:sz w:val="20"/>
                <w:szCs w:val="20"/>
              </w:rPr>
              <w:t>nol</w:t>
            </w:r>
            <w:r w:rsidRPr="007007F9">
              <w:rPr>
                <w:sz w:val="20"/>
                <w:szCs w:val="20"/>
              </w:rPr>
              <w:t>u a 15 % benzinu a</w:t>
            </w:r>
            <w:r>
              <w:rPr>
                <w:sz w:val="20"/>
                <w:szCs w:val="20"/>
              </w:rPr>
              <w:t> </w:t>
            </w:r>
            <w:r w:rsidRPr="007007F9">
              <w:rPr>
                <w:sz w:val="20"/>
                <w:szCs w:val="20"/>
              </w:rPr>
              <w:t>spec</w:t>
            </w:r>
            <w:r>
              <w:rPr>
                <w:sz w:val="20"/>
                <w:szCs w:val="20"/>
              </w:rPr>
              <w:t>i</w:t>
            </w:r>
            <w:r w:rsidRPr="007007F9">
              <w:rPr>
                <w:sz w:val="20"/>
                <w:szCs w:val="20"/>
              </w:rPr>
              <w:t>fické přísady</w:t>
            </w:r>
          </w:p>
        </w:tc>
        <w:tc>
          <w:tcPr>
            <w:tcW w:w="3969" w:type="dxa"/>
          </w:tcPr>
          <w:p w:rsidR="00E944BE" w:rsidRPr="007007F9" w:rsidRDefault="00E944BE" w:rsidP="00E944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07F9">
              <w:rPr>
                <w:rFonts w:ascii="Times New Roman" w:hAnsi="Times New Roman" w:cs="Times New Roman"/>
                <w:sz w:val="20"/>
                <w:szCs w:val="20"/>
              </w:rPr>
              <w:t>palivo pro zážehové spalovací motory</w:t>
            </w:r>
          </w:p>
        </w:tc>
      </w:tr>
      <w:tr w:rsidR="00E944BE" w:rsidRPr="007007F9" w:rsidTr="00E944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0" w:type="dxa"/>
            <w:gridSpan w:val="4"/>
          </w:tcPr>
          <w:p w:rsidR="00E944BE" w:rsidRPr="004665E4" w:rsidRDefault="00E944BE" w:rsidP="00E944BE">
            <w:pPr>
              <w:pStyle w:val="Odstavecseseznamem"/>
              <w:tabs>
                <w:tab w:val="left" w:pos="284"/>
              </w:tabs>
              <w:spacing w:after="60"/>
              <w:ind w:left="0"/>
              <w:jc w:val="left"/>
              <w:rPr>
                <w:sz w:val="20"/>
                <w:szCs w:val="20"/>
              </w:rPr>
            </w:pPr>
            <w:r w:rsidRPr="004665E4">
              <w:rPr>
                <w:sz w:val="20"/>
                <w:szCs w:val="20"/>
              </w:rPr>
              <w:t>B) Palivové složky do silničních paliv</w:t>
            </w:r>
          </w:p>
        </w:tc>
      </w:tr>
      <w:tr w:rsidR="00E944BE" w:rsidRPr="007007F9" w:rsidTr="00E944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:rsidR="00E944BE" w:rsidRPr="004665E4" w:rsidRDefault="00E944BE" w:rsidP="00E944BE">
            <w:pPr>
              <w:pStyle w:val="Odstavecseseznamem"/>
              <w:tabs>
                <w:tab w:val="left" w:pos="284"/>
              </w:tabs>
              <w:spacing w:after="60"/>
              <w:ind w:left="0"/>
              <w:jc w:val="left"/>
              <w:rPr>
                <w:b w:val="0"/>
                <w:bCs w:val="0"/>
                <w:sz w:val="20"/>
                <w:szCs w:val="20"/>
              </w:rPr>
            </w:pPr>
            <w:r w:rsidRPr="004665E4">
              <w:rPr>
                <w:b w:val="0"/>
                <w:bCs w:val="0"/>
                <w:sz w:val="20"/>
                <w:szCs w:val="20"/>
              </w:rPr>
              <w:t>Bio</w:t>
            </w:r>
            <w:r w:rsidR="00C0703E">
              <w:rPr>
                <w:b w:val="0"/>
                <w:bCs w:val="0"/>
                <w:sz w:val="20"/>
                <w:szCs w:val="20"/>
              </w:rPr>
              <w:t>eta</w:t>
            </w:r>
            <w:r>
              <w:rPr>
                <w:b w:val="0"/>
                <w:bCs w:val="0"/>
                <w:sz w:val="20"/>
                <w:szCs w:val="20"/>
              </w:rPr>
              <w:t>nol</w:t>
            </w:r>
            <w:r w:rsidRPr="004665E4">
              <w:rPr>
                <w:b w:val="0"/>
                <w:bCs w:val="0"/>
                <w:sz w:val="20"/>
                <w:szCs w:val="20"/>
              </w:rPr>
              <w:t>/</w:t>
            </w:r>
            <w:r w:rsidR="00C0703E">
              <w:rPr>
                <w:b w:val="0"/>
                <w:bCs w:val="0"/>
                <w:sz w:val="20"/>
                <w:szCs w:val="20"/>
              </w:rPr>
              <w:t>eta</w:t>
            </w:r>
            <w:r>
              <w:rPr>
                <w:b w:val="0"/>
                <w:bCs w:val="0"/>
                <w:sz w:val="20"/>
                <w:szCs w:val="20"/>
              </w:rPr>
              <w:t>nol</w:t>
            </w:r>
            <w:r w:rsidRPr="004665E4">
              <w:rPr>
                <w:b w:val="0"/>
                <w:bCs w:val="0"/>
                <w:sz w:val="20"/>
                <w:szCs w:val="20"/>
              </w:rPr>
              <w:t xml:space="preserve"> EN 15376 (ČSN 65 6511)</w:t>
            </w:r>
          </w:p>
        </w:tc>
        <w:tc>
          <w:tcPr>
            <w:tcW w:w="2126" w:type="dxa"/>
          </w:tcPr>
          <w:p w:rsidR="00E944BE" w:rsidRPr="006824B8" w:rsidRDefault="00E944BE" w:rsidP="00E944BE">
            <w:pPr>
              <w:pStyle w:val="Odstavecseseznamem"/>
              <w:tabs>
                <w:tab w:val="left" w:pos="284"/>
              </w:tabs>
              <w:spacing w:after="60"/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824B8">
              <w:rPr>
                <w:sz w:val="20"/>
                <w:szCs w:val="20"/>
              </w:rPr>
              <w:t>EN 15376</w:t>
            </w:r>
          </w:p>
        </w:tc>
        <w:tc>
          <w:tcPr>
            <w:tcW w:w="3969" w:type="dxa"/>
          </w:tcPr>
          <w:p w:rsidR="00E944BE" w:rsidRPr="006824B8" w:rsidRDefault="00E944BE" w:rsidP="00E944BE">
            <w:pPr>
              <w:pStyle w:val="Odstavecseseznamem"/>
              <w:tabs>
                <w:tab w:val="left" w:pos="284"/>
              </w:tabs>
              <w:spacing w:after="60"/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6824B8">
              <w:rPr>
                <w:sz w:val="20"/>
                <w:szCs w:val="20"/>
              </w:rPr>
              <w:t xml:space="preserve">denaturovaný kvasný </w:t>
            </w:r>
            <w:r w:rsidR="00C0703E">
              <w:rPr>
                <w:sz w:val="20"/>
                <w:szCs w:val="20"/>
              </w:rPr>
              <w:t>eta</w:t>
            </w:r>
            <w:r>
              <w:rPr>
                <w:sz w:val="20"/>
                <w:szCs w:val="20"/>
              </w:rPr>
              <w:t>nol</w:t>
            </w:r>
          </w:p>
        </w:tc>
        <w:tc>
          <w:tcPr>
            <w:tcW w:w="3969" w:type="dxa"/>
          </w:tcPr>
          <w:p w:rsidR="00E944BE" w:rsidRPr="006824B8" w:rsidRDefault="00E944BE" w:rsidP="00E944BE">
            <w:pPr>
              <w:pStyle w:val="Odstavecseseznamem"/>
              <w:tabs>
                <w:tab w:val="left" w:pos="284"/>
              </w:tabs>
              <w:spacing w:after="60"/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824B8">
              <w:rPr>
                <w:sz w:val="20"/>
                <w:szCs w:val="20"/>
              </w:rPr>
              <w:t>jako biosložka pro mísení automobilových benzinů</w:t>
            </w:r>
          </w:p>
        </w:tc>
      </w:tr>
      <w:tr w:rsidR="00E944BE" w:rsidRPr="007007F9" w:rsidTr="00E944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:rsidR="00E944BE" w:rsidRPr="004665E4" w:rsidRDefault="00E944BE" w:rsidP="00E944BE">
            <w:pPr>
              <w:pStyle w:val="Odstavecseseznamem"/>
              <w:tabs>
                <w:tab w:val="left" w:pos="284"/>
              </w:tabs>
              <w:spacing w:after="60"/>
              <w:ind w:left="0"/>
              <w:jc w:val="left"/>
              <w:rPr>
                <w:b w:val="0"/>
                <w:bCs w:val="0"/>
                <w:sz w:val="20"/>
                <w:szCs w:val="20"/>
              </w:rPr>
            </w:pPr>
            <w:r w:rsidRPr="004665E4">
              <w:rPr>
                <w:b w:val="0"/>
                <w:bCs w:val="0"/>
                <w:sz w:val="20"/>
                <w:szCs w:val="20"/>
              </w:rPr>
              <w:t xml:space="preserve">ETBE/MTBE </w:t>
            </w:r>
            <w:r w:rsidR="00CA67E5">
              <w:rPr>
                <w:b w:val="0"/>
                <w:bCs w:val="0"/>
                <w:sz w:val="20"/>
                <w:szCs w:val="20"/>
              </w:rPr>
              <w:t>Éter</w:t>
            </w:r>
            <w:r w:rsidRPr="004665E4">
              <w:rPr>
                <w:b w:val="0"/>
                <w:bCs w:val="0"/>
                <w:sz w:val="20"/>
                <w:szCs w:val="20"/>
              </w:rPr>
              <w:t xml:space="preserve">y a </w:t>
            </w:r>
            <w:proofErr w:type="spellStart"/>
            <w:r w:rsidRPr="004665E4">
              <w:rPr>
                <w:b w:val="0"/>
                <w:bCs w:val="0"/>
                <w:sz w:val="20"/>
                <w:szCs w:val="20"/>
              </w:rPr>
              <w:t>oxygenáty</w:t>
            </w:r>
            <w:proofErr w:type="spellEnd"/>
          </w:p>
        </w:tc>
        <w:tc>
          <w:tcPr>
            <w:tcW w:w="2126" w:type="dxa"/>
          </w:tcPr>
          <w:p w:rsidR="00E944BE" w:rsidRPr="00965E63" w:rsidRDefault="00E944BE" w:rsidP="00E944BE">
            <w:pPr>
              <w:pStyle w:val="Odstavecseseznamem"/>
              <w:tabs>
                <w:tab w:val="left" w:pos="284"/>
              </w:tabs>
              <w:spacing w:after="60"/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:rsidR="00E944BE" w:rsidRPr="00965E63" w:rsidRDefault="00E944BE" w:rsidP="00E944BE">
            <w:pPr>
              <w:pStyle w:val="Odstavecseseznamem"/>
              <w:tabs>
                <w:tab w:val="left" w:pos="284"/>
              </w:tabs>
              <w:spacing w:after="60"/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65E63">
              <w:rPr>
                <w:sz w:val="20"/>
                <w:szCs w:val="20"/>
              </w:rPr>
              <w:t>chemicky e</w:t>
            </w:r>
            <w:r w:rsidR="00CA67E5">
              <w:rPr>
                <w:sz w:val="20"/>
                <w:szCs w:val="20"/>
              </w:rPr>
              <w:t>tyl</w:t>
            </w:r>
            <w:r w:rsidRPr="00965E63">
              <w:rPr>
                <w:sz w:val="20"/>
                <w:szCs w:val="20"/>
              </w:rPr>
              <w:t>/me</w:t>
            </w:r>
            <w:r w:rsidR="00CA67E5">
              <w:rPr>
                <w:sz w:val="20"/>
                <w:szCs w:val="20"/>
              </w:rPr>
              <w:t>tyl-</w:t>
            </w:r>
            <w:r w:rsidRPr="00965E63">
              <w:rPr>
                <w:sz w:val="20"/>
                <w:szCs w:val="20"/>
              </w:rPr>
              <w:t>terc</w:t>
            </w:r>
            <w:r w:rsidR="00CA67E5">
              <w:rPr>
                <w:sz w:val="20"/>
                <w:szCs w:val="20"/>
              </w:rPr>
              <w:t>-</w:t>
            </w:r>
            <w:proofErr w:type="spellStart"/>
            <w:r w:rsidRPr="00965E63">
              <w:rPr>
                <w:sz w:val="20"/>
                <w:szCs w:val="20"/>
              </w:rPr>
              <w:t>butyl</w:t>
            </w:r>
            <w:r w:rsidR="00CA67E5">
              <w:rPr>
                <w:sz w:val="20"/>
                <w:szCs w:val="20"/>
              </w:rPr>
              <w:t>éter</w:t>
            </w:r>
            <w:proofErr w:type="spellEnd"/>
            <w:r w:rsidRPr="00965E63">
              <w:rPr>
                <w:sz w:val="20"/>
                <w:szCs w:val="20"/>
              </w:rPr>
              <w:t xml:space="preserve"> syntetizovaný z alkoholu a olefinů</w:t>
            </w:r>
          </w:p>
        </w:tc>
        <w:tc>
          <w:tcPr>
            <w:tcW w:w="3969" w:type="dxa"/>
          </w:tcPr>
          <w:p w:rsidR="00E944BE" w:rsidRPr="00965E63" w:rsidRDefault="00E944BE" w:rsidP="00E944BE">
            <w:pPr>
              <w:pStyle w:val="Odstavecseseznamem"/>
              <w:tabs>
                <w:tab w:val="left" w:pos="284"/>
              </w:tabs>
              <w:spacing w:after="60"/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65E63">
              <w:rPr>
                <w:sz w:val="20"/>
                <w:szCs w:val="20"/>
              </w:rPr>
              <w:t>jako složka pro mísení automobilových benzinů</w:t>
            </w:r>
          </w:p>
        </w:tc>
      </w:tr>
      <w:tr w:rsidR="00E944BE" w:rsidRPr="007007F9" w:rsidTr="00E944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:rsidR="00E944BE" w:rsidRPr="004665E4" w:rsidRDefault="00E944BE" w:rsidP="00E944BE">
            <w:pPr>
              <w:pStyle w:val="Odstavecseseznamem"/>
              <w:tabs>
                <w:tab w:val="left" w:pos="284"/>
              </w:tabs>
              <w:spacing w:after="60"/>
              <w:ind w:left="0"/>
              <w:jc w:val="left"/>
              <w:rPr>
                <w:b w:val="0"/>
                <w:bCs w:val="0"/>
                <w:sz w:val="20"/>
                <w:szCs w:val="20"/>
              </w:rPr>
            </w:pPr>
            <w:r w:rsidRPr="004665E4">
              <w:rPr>
                <w:b w:val="0"/>
                <w:bCs w:val="0"/>
                <w:sz w:val="20"/>
                <w:szCs w:val="20"/>
              </w:rPr>
              <w:t>MEŘO</w:t>
            </w:r>
          </w:p>
        </w:tc>
        <w:tc>
          <w:tcPr>
            <w:tcW w:w="2126" w:type="dxa"/>
          </w:tcPr>
          <w:p w:rsidR="00E944BE" w:rsidRPr="00C80C51" w:rsidRDefault="00E944BE" w:rsidP="00E944BE">
            <w:pPr>
              <w:pStyle w:val="Odstavecseseznamem"/>
              <w:tabs>
                <w:tab w:val="left" w:pos="284"/>
              </w:tabs>
              <w:spacing w:after="60"/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:rsidR="00E944BE" w:rsidRPr="00C80C51" w:rsidRDefault="00E944BE" w:rsidP="00E944BE">
            <w:pPr>
              <w:pStyle w:val="Odstavecseseznamem"/>
              <w:tabs>
                <w:tab w:val="left" w:pos="284"/>
              </w:tabs>
              <w:spacing w:after="60"/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80C51">
              <w:rPr>
                <w:sz w:val="20"/>
                <w:szCs w:val="20"/>
              </w:rPr>
              <w:t>me</w:t>
            </w:r>
            <w:r w:rsidR="00CA67E5">
              <w:rPr>
                <w:sz w:val="20"/>
                <w:szCs w:val="20"/>
              </w:rPr>
              <w:t>tyl</w:t>
            </w:r>
            <w:r w:rsidRPr="00C80C51">
              <w:rPr>
                <w:sz w:val="20"/>
                <w:szCs w:val="20"/>
              </w:rPr>
              <w:t>ester řepkových olejů</w:t>
            </w:r>
          </w:p>
        </w:tc>
        <w:tc>
          <w:tcPr>
            <w:tcW w:w="3969" w:type="dxa"/>
          </w:tcPr>
          <w:p w:rsidR="00E944BE" w:rsidRPr="00C80C51" w:rsidRDefault="00E944BE" w:rsidP="00E944BE">
            <w:pPr>
              <w:pStyle w:val="Odstavecseseznamem"/>
              <w:tabs>
                <w:tab w:val="left" w:pos="284"/>
              </w:tabs>
              <w:spacing w:after="60"/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80C51">
              <w:rPr>
                <w:sz w:val="20"/>
                <w:szCs w:val="20"/>
              </w:rPr>
              <w:t>jako biosložka pro mísení motorové nafty</w:t>
            </w:r>
          </w:p>
        </w:tc>
      </w:tr>
      <w:tr w:rsidR="00E944BE" w:rsidRPr="007007F9" w:rsidTr="00E944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:rsidR="00E944BE" w:rsidRPr="004665E4" w:rsidRDefault="00E944BE" w:rsidP="00E944BE">
            <w:pPr>
              <w:pStyle w:val="Odstavecseseznamem"/>
              <w:tabs>
                <w:tab w:val="left" w:pos="284"/>
              </w:tabs>
              <w:spacing w:after="60"/>
              <w:ind w:left="0"/>
              <w:jc w:val="left"/>
              <w:rPr>
                <w:b w:val="0"/>
                <w:bCs w:val="0"/>
                <w:sz w:val="20"/>
                <w:szCs w:val="20"/>
              </w:rPr>
            </w:pPr>
            <w:r w:rsidRPr="004665E4">
              <w:rPr>
                <w:b w:val="0"/>
                <w:bCs w:val="0"/>
                <w:sz w:val="20"/>
                <w:szCs w:val="20"/>
              </w:rPr>
              <w:t>FAME</w:t>
            </w:r>
          </w:p>
        </w:tc>
        <w:tc>
          <w:tcPr>
            <w:tcW w:w="2126" w:type="dxa"/>
          </w:tcPr>
          <w:p w:rsidR="00E944BE" w:rsidRPr="00C80C51" w:rsidRDefault="00E944BE" w:rsidP="00E944BE">
            <w:pPr>
              <w:pStyle w:val="Odstavecseseznamem"/>
              <w:tabs>
                <w:tab w:val="left" w:pos="284"/>
              </w:tabs>
              <w:spacing w:after="60"/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80C51">
              <w:rPr>
                <w:sz w:val="20"/>
                <w:szCs w:val="20"/>
              </w:rPr>
              <w:t>ČSN EN 14214+A2</w:t>
            </w:r>
          </w:p>
        </w:tc>
        <w:tc>
          <w:tcPr>
            <w:tcW w:w="3969" w:type="dxa"/>
          </w:tcPr>
          <w:p w:rsidR="00E944BE" w:rsidRPr="00C80C51" w:rsidRDefault="00E944BE" w:rsidP="00E944BE">
            <w:pPr>
              <w:pStyle w:val="Odstavecseseznamem"/>
              <w:tabs>
                <w:tab w:val="left" w:pos="284"/>
              </w:tabs>
              <w:spacing w:after="60"/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80C51">
              <w:rPr>
                <w:sz w:val="20"/>
                <w:szCs w:val="20"/>
              </w:rPr>
              <w:t>me</w:t>
            </w:r>
            <w:r w:rsidR="00CA67E5">
              <w:rPr>
                <w:sz w:val="20"/>
                <w:szCs w:val="20"/>
              </w:rPr>
              <w:t>tyl</w:t>
            </w:r>
            <w:r w:rsidRPr="00C80C51">
              <w:rPr>
                <w:sz w:val="20"/>
                <w:szCs w:val="20"/>
              </w:rPr>
              <w:t xml:space="preserve"> ester mastných kyselin</w:t>
            </w:r>
          </w:p>
        </w:tc>
        <w:tc>
          <w:tcPr>
            <w:tcW w:w="3969" w:type="dxa"/>
          </w:tcPr>
          <w:p w:rsidR="00E944BE" w:rsidRPr="00C80C51" w:rsidRDefault="00E944BE" w:rsidP="00E944BE">
            <w:pPr>
              <w:pStyle w:val="Odstavecseseznamem"/>
              <w:tabs>
                <w:tab w:val="left" w:pos="284"/>
              </w:tabs>
              <w:spacing w:after="60"/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80C51">
              <w:rPr>
                <w:sz w:val="20"/>
                <w:szCs w:val="20"/>
              </w:rPr>
              <w:t>jako biosložka pro mísení m</w:t>
            </w:r>
            <w:r>
              <w:rPr>
                <w:sz w:val="20"/>
                <w:szCs w:val="20"/>
              </w:rPr>
              <w:t>o</w:t>
            </w:r>
            <w:r w:rsidRPr="00C80C51">
              <w:rPr>
                <w:sz w:val="20"/>
                <w:szCs w:val="20"/>
              </w:rPr>
              <w:t>torové nafty</w:t>
            </w:r>
          </w:p>
        </w:tc>
      </w:tr>
      <w:tr w:rsidR="00E944BE" w:rsidRPr="007007F9" w:rsidTr="00E944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:rsidR="00E944BE" w:rsidRPr="004665E4" w:rsidRDefault="00E944BE" w:rsidP="00E944BE">
            <w:pPr>
              <w:pStyle w:val="Odstavecseseznamem"/>
              <w:tabs>
                <w:tab w:val="left" w:pos="284"/>
              </w:tabs>
              <w:spacing w:after="60"/>
              <w:ind w:left="0"/>
              <w:jc w:val="left"/>
              <w:rPr>
                <w:b w:val="0"/>
                <w:bCs w:val="0"/>
                <w:sz w:val="20"/>
                <w:szCs w:val="20"/>
              </w:rPr>
            </w:pPr>
            <w:r w:rsidRPr="004665E4">
              <w:rPr>
                <w:b w:val="0"/>
                <w:bCs w:val="0"/>
                <w:sz w:val="20"/>
                <w:szCs w:val="20"/>
              </w:rPr>
              <w:t>FAEE – ve stádiu pilotních zkoušek</w:t>
            </w:r>
          </w:p>
        </w:tc>
        <w:tc>
          <w:tcPr>
            <w:tcW w:w="2126" w:type="dxa"/>
          </w:tcPr>
          <w:p w:rsidR="00E944BE" w:rsidRPr="00C80C51" w:rsidRDefault="00E944BE" w:rsidP="00E944BE">
            <w:pPr>
              <w:pStyle w:val="Odstavecseseznamem"/>
              <w:tabs>
                <w:tab w:val="left" w:pos="284"/>
              </w:tabs>
              <w:spacing w:after="60"/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:rsidR="00E944BE" w:rsidRPr="00C80C51" w:rsidRDefault="00E944BE" w:rsidP="00E944BE">
            <w:pPr>
              <w:pStyle w:val="Odstavecseseznamem"/>
              <w:tabs>
                <w:tab w:val="left" w:pos="284"/>
              </w:tabs>
              <w:spacing w:after="60"/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</w:t>
            </w:r>
            <w:r w:rsidRPr="00C80C51">
              <w:rPr>
                <w:sz w:val="20"/>
                <w:szCs w:val="20"/>
              </w:rPr>
              <w:t xml:space="preserve">edná se o </w:t>
            </w:r>
            <w:proofErr w:type="spellStart"/>
            <w:r w:rsidRPr="00C80C51">
              <w:rPr>
                <w:sz w:val="20"/>
                <w:szCs w:val="20"/>
              </w:rPr>
              <w:t>e</w:t>
            </w:r>
            <w:r w:rsidR="00CA67E5">
              <w:rPr>
                <w:sz w:val="20"/>
                <w:szCs w:val="20"/>
              </w:rPr>
              <w:t>tyl</w:t>
            </w:r>
            <w:r w:rsidRPr="00C80C51">
              <w:rPr>
                <w:sz w:val="20"/>
                <w:szCs w:val="20"/>
              </w:rPr>
              <w:t>estery</w:t>
            </w:r>
            <w:proofErr w:type="spellEnd"/>
            <w:r w:rsidRPr="00C80C51">
              <w:rPr>
                <w:sz w:val="20"/>
                <w:szCs w:val="20"/>
              </w:rPr>
              <w:t xml:space="preserve"> mastných kyselin obdobných vlastností jako má FAME</w:t>
            </w:r>
            <w:r>
              <w:rPr>
                <w:sz w:val="20"/>
                <w:szCs w:val="20"/>
              </w:rPr>
              <w:t>.</w:t>
            </w:r>
            <w:r w:rsidRPr="00C80C5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J</w:t>
            </w:r>
            <w:r w:rsidRPr="00C80C51">
              <w:rPr>
                <w:sz w:val="20"/>
                <w:szCs w:val="20"/>
              </w:rPr>
              <w:t>e zvažován přídavek FAEE do motorové nafty EN 590 až na objem 10</w:t>
            </w:r>
            <w:r>
              <w:rPr>
                <w:sz w:val="20"/>
                <w:szCs w:val="20"/>
              </w:rPr>
              <w:t> </w:t>
            </w:r>
            <w:r w:rsidRPr="00C80C51">
              <w:rPr>
                <w:sz w:val="20"/>
                <w:szCs w:val="20"/>
              </w:rPr>
              <w:t>%, alternativou je použití směsi FAME a FAEE do motorové nafty</w:t>
            </w:r>
            <w:r>
              <w:rPr>
                <w:sz w:val="20"/>
                <w:szCs w:val="20"/>
              </w:rPr>
              <w:t>. T</w:t>
            </w:r>
            <w:r w:rsidRPr="00C80C51">
              <w:rPr>
                <w:sz w:val="20"/>
                <w:szCs w:val="20"/>
              </w:rPr>
              <w:t xml:space="preserve">echnologie výroby FAEE je obdobou technologie FAME. Výhodou je, že lze </w:t>
            </w:r>
            <w:r w:rsidRPr="00C80C51">
              <w:rPr>
                <w:sz w:val="20"/>
                <w:szCs w:val="20"/>
              </w:rPr>
              <w:lastRenderedPageBreak/>
              <w:t>syntetický m</w:t>
            </w:r>
            <w:r w:rsidR="00C0703E">
              <w:rPr>
                <w:sz w:val="20"/>
                <w:szCs w:val="20"/>
              </w:rPr>
              <w:t>eta</w:t>
            </w:r>
            <w:r>
              <w:rPr>
                <w:sz w:val="20"/>
                <w:szCs w:val="20"/>
              </w:rPr>
              <w:t>nol</w:t>
            </w:r>
            <w:r w:rsidRPr="00C80C51">
              <w:rPr>
                <w:sz w:val="20"/>
                <w:szCs w:val="20"/>
              </w:rPr>
              <w:t xml:space="preserve"> pro esterifikaci nahradit bio</w:t>
            </w:r>
            <w:r w:rsidR="00C0703E">
              <w:rPr>
                <w:sz w:val="20"/>
                <w:szCs w:val="20"/>
              </w:rPr>
              <w:t>eta</w:t>
            </w:r>
            <w:r>
              <w:rPr>
                <w:sz w:val="20"/>
                <w:szCs w:val="20"/>
              </w:rPr>
              <w:t>nol</w:t>
            </w:r>
            <w:r w:rsidRPr="00C80C51">
              <w:rPr>
                <w:sz w:val="20"/>
                <w:szCs w:val="20"/>
              </w:rPr>
              <w:t>em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969" w:type="dxa"/>
          </w:tcPr>
          <w:p w:rsidR="00E944BE" w:rsidRPr="00C80C51" w:rsidRDefault="00E944BE" w:rsidP="00E944BE">
            <w:pPr>
              <w:pStyle w:val="Odstavecseseznamem"/>
              <w:tabs>
                <w:tab w:val="left" w:pos="284"/>
              </w:tabs>
              <w:spacing w:after="60"/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73CF5">
              <w:rPr>
                <w:sz w:val="20"/>
                <w:szCs w:val="20"/>
              </w:rPr>
              <w:lastRenderedPageBreak/>
              <w:t>jako biosložka pro mísení do motorové nafty</w:t>
            </w:r>
          </w:p>
        </w:tc>
      </w:tr>
      <w:tr w:rsidR="00E944BE" w:rsidRPr="007007F9" w:rsidTr="00E944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:rsidR="00E944BE" w:rsidRPr="004665E4" w:rsidRDefault="00E944BE" w:rsidP="00E944BE">
            <w:pPr>
              <w:pStyle w:val="Odstavecseseznamem"/>
              <w:tabs>
                <w:tab w:val="left" w:pos="284"/>
              </w:tabs>
              <w:spacing w:after="60"/>
              <w:ind w:left="0"/>
              <w:jc w:val="left"/>
              <w:rPr>
                <w:b w:val="0"/>
                <w:bCs w:val="0"/>
                <w:sz w:val="20"/>
                <w:szCs w:val="20"/>
              </w:rPr>
            </w:pPr>
            <w:r w:rsidRPr="004665E4">
              <w:rPr>
                <w:b w:val="0"/>
                <w:bCs w:val="0"/>
                <w:sz w:val="20"/>
                <w:szCs w:val="20"/>
              </w:rPr>
              <w:t>M</w:t>
            </w:r>
            <w:r w:rsidR="00C0703E">
              <w:rPr>
                <w:b w:val="0"/>
                <w:bCs w:val="0"/>
                <w:sz w:val="20"/>
                <w:szCs w:val="20"/>
              </w:rPr>
              <w:t>eta</w:t>
            </w:r>
            <w:r>
              <w:rPr>
                <w:b w:val="0"/>
                <w:bCs w:val="0"/>
                <w:sz w:val="20"/>
                <w:szCs w:val="20"/>
              </w:rPr>
              <w:t>nol</w:t>
            </w:r>
          </w:p>
          <w:p w:rsidR="00E944BE" w:rsidRPr="004665E4" w:rsidRDefault="00E944BE" w:rsidP="00E944BE">
            <w:pPr>
              <w:pStyle w:val="Odstavecseseznamem"/>
              <w:tabs>
                <w:tab w:val="left" w:pos="284"/>
              </w:tabs>
              <w:spacing w:after="60"/>
              <w:ind w:left="0"/>
              <w:jc w:val="left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2126" w:type="dxa"/>
          </w:tcPr>
          <w:p w:rsidR="00E944BE" w:rsidRPr="00590228" w:rsidRDefault="00E944BE" w:rsidP="00E944BE">
            <w:pPr>
              <w:pStyle w:val="Odstavecseseznamem"/>
              <w:tabs>
                <w:tab w:val="left" w:pos="284"/>
              </w:tabs>
              <w:spacing w:after="60"/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:rsidR="00E944BE" w:rsidRPr="00590228" w:rsidRDefault="00E944BE" w:rsidP="00E944BE">
            <w:pPr>
              <w:pStyle w:val="Odstavecseseznamem"/>
              <w:tabs>
                <w:tab w:val="left" w:pos="284"/>
              </w:tabs>
              <w:spacing w:after="60"/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90228">
              <w:rPr>
                <w:sz w:val="20"/>
                <w:szCs w:val="20"/>
              </w:rPr>
              <w:t>petrochemická surovina vyrobená sy</w:t>
            </w:r>
            <w:r>
              <w:rPr>
                <w:sz w:val="20"/>
                <w:szCs w:val="20"/>
              </w:rPr>
              <w:t>n</w:t>
            </w:r>
            <w:r w:rsidRPr="00590228">
              <w:rPr>
                <w:sz w:val="20"/>
                <w:szCs w:val="20"/>
              </w:rPr>
              <w:t>teticky</w:t>
            </w:r>
          </w:p>
        </w:tc>
        <w:tc>
          <w:tcPr>
            <w:tcW w:w="3969" w:type="dxa"/>
          </w:tcPr>
          <w:p w:rsidR="00E944BE" w:rsidRPr="00590228" w:rsidRDefault="00E944BE" w:rsidP="00E944BE">
            <w:pPr>
              <w:pStyle w:val="Odstavecseseznamem"/>
              <w:tabs>
                <w:tab w:val="left" w:pos="284"/>
              </w:tabs>
              <w:spacing w:after="60"/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90228">
              <w:rPr>
                <w:sz w:val="20"/>
                <w:szCs w:val="20"/>
              </w:rPr>
              <w:t>jako složka pro mísení do automobilových benzinů</w:t>
            </w:r>
          </w:p>
        </w:tc>
      </w:tr>
      <w:tr w:rsidR="00E944BE" w:rsidRPr="007007F9" w:rsidTr="00E944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:rsidR="00E944BE" w:rsidRPr="004665E4" w:rsidRDefault="00E944BE" w:rsidP="00E944BE">
            <w:pPr>
              <w:pStyle w:val="Odstavecseseznamem"/>
              <w:tabs>
                <w:tab w:val="left" w:pos="284"/>
              </w:tabs>
              <w:spacing w:after="60"/>
              <w:ind w:left="0"/>
              <w:jc w:val="left"/>
              <w:rPr>
                <w:b w:val="0"/>
                <w:bCs w:val="0"/>
                <w:sz w:val="20"/>
                <w:szCs w:val="20"/>
              </w:rPr>
            </w:pPr>
            <w:r w:rsidRPr="004665E4">
              <w:rPr>
                <w:b w:val="0"/>
                <w:bCs w:val="0"/>
                <w:sz w:val="20"/>
                <w:szCs w:val="20"/>
              </w:rPr>
              <w:t>Butanol</w:t>
            </w:r>
          </w:p>
        </w:tc>
        <w:tc>
          <w:tcPr>
            <w:tcW w:w="2126" w:type="dxa"/>
          </w:tcPr>
          <w:p w:rsidR="00E944BE" w:rsidRPr="00590228" w:rsidRDefault="00E944BE" w:rsidP="00E944BE">
            <w:pPr>
              <w:pStyle w:val="Odstavecseseznamem"/>
              <w:tabs>
                <w:tab w:val="left" w:pos="284"/>
              </w:tabs>
              <w:spacing w:after="60"/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:rsidR="00E944BE" w:rsidRPr="00590228" w:rsidRDefault="00E944BE" w:rsidP="00E944BE">
            <w:pPr>
              <w:pStyle w:val="Odstavecseseznamem"/>
              <w:tabs>
                <w:tab w:val="left" w:pos="284"/>
              </w:tabs>
              <w:spacing w:after="60"/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90228">
              <w:rPr>
                <w:sz w:val="20"/>
                <w:szCs w:val="20"/>
              </w:rPr>
              <w:t>odzkoušené palivo pro benzinové směsi, prioritně na bázi biomasy</w:t>
            </w:r>
            <w:r>
              <w:rPr>
                <w:sz w:val="20"/>
                <w:szCs w:val="20"/>
              </w:rPr>
              <w:t xml:space="preserve">, </w:t>
            </w:r>
            <w:r w:rsidRPr="00590228">
              <w:rPr>
                <w:sz w:val="20"/>
                <w:szCs w:val="20"/>
              </w:rPr>
              <w:t>min</w:t>
            </w:r>
            <w:r>
              <w:rPr>
                <w:sz w:val="20"/>
                <w:szCs w:val="20"/>
              </w:rPr>
              <w:t>i</w:t>
            </w:r>
            <w:r w:rsidRPr="00590228">
              <w:rPr>
                <w:sz w:val="20"/>
                <w:szCs w:val="20"/>
              </w:rPr>
              <w:t>mální využití</w:t>
            </w:r>
          </w:p>
        </w:tc>
        <w:tc>
          <w:tcPr>
            <w:tcW w:w="3969" w:type="dxa"/>
          </w:tcPr>
          <w:p w:rsidR="00E944BE" w:rsidRPr="00590228" w:rsidRDefault="00E944BE" w:rsidP="00E944BE">
            <w:pPr>
              <w:pStyle w:val="Odstavecseseznamem"/>
              <w:tabs>
                <w:tab w:val="left" w:pos="284"/>
              </w:tabs>
              <w:spacing w:after="60"/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90228">
              <w:rPr>
                <w:sz w:val="20"/>
                <w:szCs w:val="20"/>
              </w:rPr>
              <w:t>jako složka pro mísení do automobilových benzinů</w:t>
            </w:r>
          </w:p>
        </w:tc>
      </w:tr>
      <w:tr w:rsidR="00E944BE" w:rsidRPr="007007F9" w:rsidTr="00E944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0" w:type="dxa"/>
            <w:gridSpan w:val="4"/>
          </w:tcPr>
          <w:p w:rsidR="00E944BE" w:rsidRPr="00590228" w:rsidRDefault="00E944BE" w:rsidP="00E944BE">
            <w:pPr>
              <w:pStyle w:val="Odstavecseseznamem"/>
              <w:tabs>
                <w:tab w:val="left" w:pos="284"/>
              </w:tabs>
              <w:spacing w:after="60"/>
              <w:ind w:left="0"/>
              <w:jc w:val="left"/>
              <w:rPr>
                <w:sz w:val="20"/>
                <w:szCs w:val="20"/>
              </w:rPr>
            </w:pPr>
            <w:r w:rsidRPr="00590228">
              <w:rPr>
                <w:sz w:val="20"/>
                <w:szCs w:val="20"/>
              </w:rPr>
              <w:t>C)  Alternativní biopaliva 2. generace, tzv. vyspělá biopaliva</w:t>
            </w:r>
          </w:p>
        </w:tc>
      </w:tr>
      <w:tr w:rsidR="00E944BE" w:rsidRPr="007007F9" w:rsidTr="00E944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:rsidR="00E944BE" w:rsidRPr="004665E4" w:rsidRDefault="00E944BE" w:rsidP="00E944BE">
            <w:pPr>
              <w:pStyle w:val="Odstavecseseznamem"/>
              <w:tabs>
                <w:tab w:val="left" w:pos="284"/>
              </w:tabs>
              <w:spacing w:after="60"/>
              <w:ind w:left="0"/>
              <w:jc w:val="left"/>
              <w:rPr>
                <w:b w:val="0"/>
                <w:bCs w:val="0"/>
                <w:sz w:val="20"/>
                <w:szCs w:val="20"/>
              </w:rPr>
            </w:pPr>
            <w:r w:rsidRPr="004665E4">
              <w:rPr>
                <w:b w:val="0"/>
                <w:bCs w:val="0"/>
                <w:sz w:val="20"/>
                <w:szCs w:val="20"/>
              </w:rPr>
              <w:t>HVO hydrogenované rostlinné oleje</w:t>
            </w:r>
          </w:p>
        </w:tc>
        <w:tc>
          <w:tcPr>
            <w:tcW w:w="2126" w:type="dxa"/>
          </w:tcPr>
          <w:p w:rsidR="00E944BE" w:rsidRPr="00590228" w:rsidRDefault="00E944BE" w:rsidP="00E944BE">
            <w:pPr>
              <w:pStyle w:val="Odstavecseseznamem"/>
              <w:tabs>
                <w:tab w:val="left" w:pos="284"/>
              </w:tabs>
              <w:spacing w:after="60"/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90228">
              <w:rPr>
                <w:sz w:val="20"/>
                <w:szCs w:val="20"/>
              </w:rPr>
              <w:t>EN 15940 +A1 +AC ČSN 65 6584</w:t>
            </w:r>
          </w:p>
        </w:tc>
        <w:tc>
          <w:tcPr>
            <w:tcW w:w="3969" w:type="dxa"/>
          </w:tcPr>
          <w:p w:rsidR="00E944BE" w:rsidRPr="00590228" w:rsidRDefault="00E944BE" w:rsidP="00E944BE">
            <w:pPr>
              <w:pStyle w:val="Odstavecseseznamem"/>
              <w:tabs>
                <w:tab w:val="left" w:pos="284"/>
              </w:tabs>
              <w:spacing w:after="60"/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C7212">
              <w:rPr>
                <w:sz w:val="20"/>
                <w:szCs w:val="20"/>
              </w:rPr>
              <w:t xml:space="preserve">Surovinou pro výrobu HVO jsou rostlinné oleje nepotravinářského a </w:t>
            </w:r>
            <w:proofErr w:type="spellStart"/>
            <w:r w:rsidRPr="009C7212">
              <w:rPr>
                <w:sz w:val="20"/>
                <w:szCs w:val="20"/>
              </w:rPr>
              <w:t>nekrmivářského</w:t>
            </w:r>
            <w:proofErr w:type="spellEnd"/>
            <w:r w:rsidRPr="009C7212">
              <w:rPr>
                <w:sz w:val="20"/>
                <w:szCs w:val="20"/>
              </w:rPr>
              <w:t xml:space="preserve"> použití a odpadní rostlinné oleje a případ</w:t>
            </w:r>
            <w:r>
              <w:rPr>
                <w:sz w:val="20"/>
                <w:szCs w:val="20"/>
              </w:rPr>
              <w:t>n</w:t>
            </w:r>
            <w:r w:rsidRPr="009C7212">
              <w:rPr>
                <w:sz w:val="20"/>
                <w:szCs w:val="20"/>
              </w:rPr>
              <w:t xml:space="preserve">ě živočišné tuky. Hydrogenované rostlinné oleje je obecný název směsi </w:t>
            </w:r>
            <w:r>
              <w:rPr>
                <w:sz w:val="20"/>
                <w:szCs w:val="20"/>
              </w:rPr>
              <w:br/>
            </w:r>
            <w:r w:rsidRPr="009C7212">
              <w:rPr>
                <w:sz w:val="20"/>
                <w:szCs w:val="20"/>
              </w:rPr>
              <w:t>n-</w:t>
            </w:r>
            <w:proofErr w:type="spellStart"/>
            <w:r w:rsidRPr="009C7212">
              <w:rPr>
                <w:sz w:val="20"/>
                <w:szCs w:val="20"/>
              </w:rPr>
              <w:t>parafinických</w:t>
            </w:r>
            <w:proofErr w:type="spellEnd"/>
            <w:r w:rsidRPr="009C7212">
              <w:rPr>
                <w:sz w:val="20"/>
                <w:szCs w:val="20"/>
              </w:rPr>
              <w:t xml:space="preserve"> a </w:t>
            </w:r>
            <w:proofErr w:type="spellStart"/>
            <w:r w:rsidRPr="009C7212">
              <w:rPr>
                <w:sz w:val="20"/>
                <w:szCs w:val="20"/>
              </w:rPr>
              <w:t>iso-parafinických</w:t>
            </w:r>
            <w:proofErr w:type="spellEnd"/>
            <w:r w:rsidRPr="009C7212">
              <w:rPr>
                <w:sz w:val="20"/>
                <w:szCs w:val="20"/>
              </w:rPr>
              <w:t xml:space="preserve"> uhlovodíků (C15 až C17) vyrobených hydrogenací nenasycených mastných kyselin rostlinného původu (jako j</w:t>
            </w:r>
            <w:r>
              <w:rPr>
                <w:sz w:val="20"/>
                <w:szCs w:val="20"/>
              </w:rPr>
              <w:t xml:space="preserve">sou </w:t>
            </w:r>
            <w:r w:rsidRPr="009C7212">
              <w:rPr>
                <w:sz w:val="20"/>
                <w:szCs w:val="20"/>
              </w:rPr>
              <w:t>kokosový, řepkový, palmový a jin</w:t>
            </w:r>
            <w:r>
              <w:rPr>
                <w:sz w:val="20"/>
                <w:szCs w:val="20"/>
              </w:rPr>
              <w:t>é</w:t>
            </w:r>
            <w:r w:rsidRPr="009C7212">
              <w:rPr>
                <w:sz w:val="20"/>
                <w:szCs w:val="20"/>
              </w:rPr>
              <w:t xml:space="preserve"> olej</w:t>
            </w:r>
            <w:r>
              <w:rPr>
                <w:sz w:val="20"/>
                <w:szCs w:val="20"/>
              </w:rPr>
              <w:t>e</w:t>
            </w:r>
            <w:r w:rsidRPr="009C7212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969" w:type="dxa"/>
          </w:tcPr>
          <w:p w:rsidR="00E944BE" w:rsidRPr="00590228" w:rsidRDefault="00E944BE" w:rsidP="00E944BE">
            <w:pPr>
              <w:pStyle w:val="Odstavecseseznamem"/>
              <w:tabs>
                <w:tab w:val="left" w:pos="284"/>
              </w:tabs>
              <w:spacing w:after="60"/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C6371">
              <w:rPr>
                <w:sz w:val="20"/>
                <w:szCs w:val="20"/>
              </w:rPr>
              <w:t>složka paliva pro vznětové spalovací motory</w:t>
            </w:r>
          </w:p>
        </w:tc>
      </w:tr>
      <w:tr w:rsidR="00E944BE" w:rsidRPr="007007F9" w:rsidTr="00E944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:rsidR="00E944BE" w:rsidRPr="004665E4" w:rsidRDefault="00E944BE" w:rsidP="00E944BE">
            <w:pPr>
              <w:pStyle w:val="Odstavecseseznamem"/>
              <w:tabs>
                <w:tab w:val="left" w:pos="284"/>
              </w:tabs>
              <w:spacing w:after="60"/>
              <w:ind w:left="0"/>
              <w:jc w:val="left"/>
              <w:rPr>
                <w:b w:val="0"/>
                <w:bCs w:val="0"/>
                <w:sz w:val="20"/>
                <w:szCs w:val="20"/>
              </w:rPr>
            </w:pPr>
            <w:r w:rsidRPr="004665E4">
              <w:rPr>
                <w:b w:val="0"/>
                <w:bCs w:val="0"/>
                <w:sz w:val="20"/>
                <w:szCs w:val="20"/>
              </w:rPr>
              <w:t>E95</w:t>
            </w:r>
          </w:p>
        </w:tc>
        <w:tc>
          <w:tcPr>
            <w:tcW w:w="2126" w:type="dxa"/>
          </w:tcPr>
          <w:p w:rsidR="00E944BE" w:rsidRPr="00B54FFE" w:rsidRDefault="00E944BE" w:rsidP="00E944BE">
            <w:pPr>
              <w:pStyle w:val="Odstavecseseznamem"/>
              <w:tabs>
                <w:tab w:val="left" w:pos="284"/>
              </w:tabs>
              <w:spacing w:after="60"/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54FFE">
              <w:rPr>
                <w:sz w:val="20"/>
                <w:szCs w:val="20"/>
              </w:rPr>
              <w:t>ČSN 65 6513</w:t>
            </w:r>
          </w:p>
        </w:tc>
        <w:tc>
          <w:tcPr>
            <w:tcW w:w="3969" w:type="dxa"/>
          </w:tcPr>
          <w:p w:rsidR="00E944BE" w:rsidRPr="00B54FFE" w:rsidRDefault="00E944BE" w:rsidP="00E944BE">
            <w:pPr>
              <w:pStyle w:val="Odstavecseseznamem"/>
              <w:tabs>
                <w:tab w:val="left" w:pos="284"/>
              </w:tabs>
              <w:spacing w:after="60"/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54FFE">
              <w:rPr>
                <w:sz w:val="20"/>
                <w:szCs w:val="20"/>
              </w:rPr>
              <w:t>směs 95</w:t>
            </w:r>
            <w:r>
              <w:rPr>
                <w:sz w:val="20"/>
                <w:szCs w:val="20"/>
              </w:rPr>
              <w:t> </w:t>
            </w:r>
            <w:r w:rsidRPr="00B54FFE">
              <w:rPr>
                <w:sz w:val="20"/>
                <w:szCs w:val="20"/>
              </w:rPr>
              <w:t>% bio</w:t>
            </w:r>
            <w:r w:rsidR="00C0703E">
              <w:rPr>
                <w:sz w:val="20"/>
                <w:szCs w:val="20"/>
              </w:rPr>
              <w:t>eta</w:t>
            </w:r>
            <w:r>
              <w:rPr>
                <w:sz w:val="20"/>
                <w:szCs w:val="20"/>
              </w:rPr>
              <w:t>nol</w:t>
            </w:r>
            <w:r w:rsidRPr="00B54FFE">
              <w:rPr>
                <w:sz w:val="20"/>
                <w:szCs w:val="20"/>
              </w:rPr>
              <w:t>u a přísad</w:t>
            </w:r>
          </w:p>
        </w:tc>
        <w:tc>
          <w:tcPr>
            <w:tcW w:w="3969" w:type="dxa"/>
          </w:tcPr>
          <w:p w:rsidR="00E944BE" w:rsidRPr="002C6371" w:rsidRDefault="00E944BE" w:rsidP="00E944BE">
            <w:pPr>
              <w:pStyle w:val="Odstavecseseznamem"/>
              <w:tabs>
                <w:tab w:val="left" w:pos="284"/>
              </w:tabs>
              <w:spacing w:after="60"/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54FFE">
              <w:rPr>
                <w:sz w:val="20"/>
                <w:szCs w:val="20"/>
              </w:rPr>
              <w:t>palivo pro zážehové spalovací motory</w:t>
            </w:r>
          </w:p>
        </w:tc>
      </w:tr>
      <w:tr w:rsidR="00E944BE" w:rsidRPr="007007F9" w:rsidTr="00E944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:rsidR="00E944BE" w:rsidRPr="004665E4" w:rsidRDefault="00E944BE" w:rsidP="00E944BE">
            <w:pPr>
              <w:pStyle w:val="Odstavecseseznamem"/>
              <w:tabs>
                <w:tab w:val="left" w:pos="284"/>
              </w:tabs>
              <w:spacing w:after="60"/>
              <w:ind w:left="0"/>
              <w:jc w:val="left"/>
              <w:rPr>
                <w:b w:val="0"/>
                <w:bCs w:val="0"/>
                <w:sz w:val="20"/>
                <w:szCs w:val="20"/>
              </w:rPr>
            </w:pPr>
            <w:r w:rsidRPr="004665E4">
              <w:rPr>
                <w:b w:val="0"/>
                <w:bCs w:val="0"/>
                <w:sz w:val="20"/>
                <w:szCs w:val="20"/>
              </w:rPr>
              <w:t>Biometan</w:t>
            </w:r>
          </w:p>
        </w:tc>
        <w:tc>
          <w:tcPr>
            <w:tcW w:w="2126" w:type="dxa"/>
          </w:tcPr>
          <w:p w:rsidR="00E944BE" w:rsidRPr="00B54FFE" w:rsidRDefault="00E944BE" w:rsidP="00E944BE">
            <w:pPr>
              <w:pStyle w:val="Odstavecseseznamem"/>
              <w:tabs>
                <w:tab w:val="left" w:pos="284"/>
              </w:tabs>
              <w:spacing w:after="60"/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54FFE">
              <w:rPr>
                <w:sz w:val="20"/>
                <w:szCs w:val="20"/>
              </w:rPr>
              <w:t>ČSN 65 6514</w:t>
            </w:r>
          </w:p>
        </w:tc>
        <w:tc>
          <w:tcPr>
            <w:tcW w:w="3969" w:type="dxa"/>
          </w:tcPr>
          <w:p w:rsidR="00E944BE" w:rsidRPr="00B54FFE" w:rsidRDefault="00E944BE" w:rsidP="00E944BE">
            <w:pPr>
              <w:pStyle w:val="Odstavecseseznamem"/>
              <w:tabs>
                <w:tab w:val="left" w:pos="284"/>
              </w:tabs>
              <w:spacing w:after="60"/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54FFE">
              <w:rPr>
                <w:sz w:val="20"/>
                <w:szCs w:val="20"/>
              </w:rPr>
              <w:t>vyčištěný bioplyn na kvalitu dle ČSN 65 6514</w:t>
            </w:r>
          </w:p>
        </w:tc>
        <w:tc>
          <w:tcPr>
            <w:tcW w:w="3969" w:type="dxa"/>
          </w:tcPr>
          <w:p w:rsidR="00E944BE" w:rsidRPr="00B54FFE" w:rsidRDefault="00E944BE" w:rsidP="00E944BE">
            <w:pPr>
              <w:pStyle w:val="Odstavecseseznamem"/>
              <w:tabs>
                <w:tab w:val="left" w:pos="284"/>
              </w:tabs>
              <w:spacing w:after="60"/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54FFE">
              <w:rPr>
                <w:sz w:val="20"/>
                <w:szCs w:val="20"/>
              </w:rPr>
              <w:t>plynné palivo pro zážehové motory</w:t>
            </w:r>
          </w:p>
        </w:tc>
      </w:tr>
      <w:tr w:rsidR="00E944BE" w:rsidRPr="007007F9" w:rsidTr="00E944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:rsidR="00E944BE" w:rsidRPr="004665E4" w:rsidRDefault="00E944BE" w:rsidP="00E944BE">
            <w:pPr>
              <w:pStyle w:val="Odstavecseseznamem"/>
              <w:tabs>
                <w:tab w:val="left" w:pos="284"/>
              </w:tabs>
              <w:spacing w:after="60"/>
              <w:ind w:left="0"/>
              <w:jc w:val="left"/>
              <w:rPr>
                <w:b w:val="0"/>
                <w:bCs w:val="0"/>
                <w:sz w:val="20"/>
                <w:szCs w:val="20"/>
              </w:rPr>
            </w:pPr>
            <w:r w:rsidRPr="004665E4">
              <w:rPr>
                <w:b w:val="0"/>
                <w:bCs w:val="0"/>
                <w:sz w:val="20"/>
                <w:szCs w:val="20"/>
              </w:rPr>
              <w:t>LNG</w:t>
            </w:r>
          </w:p>
        </w:tc>
        <w:tc>
          <w:tcPr>
            <w:tcW w:w="2126" w:type="dxa"/>
          </w:tcPr>
          <w:p w:rsidR="00E944BE" w:rsidRPr="00B91A17" w:rsidRDefault="00E944BE" w:rsidP="00E944BE">
            <w:pPr>
              <w:pStyle w:val="Odstavecseseznamem"/>
              <w:tabs>
                <w:tab w:val="left" w:pos="284"/>
              </w:tabs>
              <w:spacing w:after="60"/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:rsidR="00E944BE" w:rsidRPr="00B91A17" w:rsidRDefault="00E944BE" w:rsidP="00E944BE">
            <w:pPr>
              <w:pStyle w:val="Odstavecseseznamem"/>
              <w:tabs>
                <w:tab w:val="left" w:pos="284"/>
              </w:tabs>
              <w:spacing w:after="60"/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91A17">
              <w:rPr>
                <w:sz w:val="20"/>
                <w:szCs w:val="20"/>
              </w:rPr>
              <w:t>zkapalněný zemní plyn nebo biometan</w:t>
            </w:r>
          </w:p>
        </w:tc>
        <w:tc>
          <w:tcPr>
            <w:tcW w:w="3969" w:type="dxa"/>
          </w:tcPr>
          <w:p w:rsidR="00E944BE" w:rsidRPr="00B91A17" w:rsidRDefault="00E944BE" w:rsidP="00E944BE">
            <w:pPr>
              <w:pStyle w:val="Odstavecseseznamem"/>
              <w:tabs>
                <w:tab w:val="left" w:pos="284"/>
              </w:tabs>
              <w:spacing w:after="60"/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91A17">
              <w:rPr>
                <w:sz w:val="20"/>
                <w:szCs w:val="20"/>
              </w:rPr>
              <w:t>palivo pro zážehové spalovací motory</w:t>
            </w:r>
          </w:p>
        </w:tc>
      </w:tr>
      <w:tr w:rsidR="00E944BE" w:rsidRPr="007007F9" w:rsidTr="00E944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0" w:type="dxa"/>
            <w:gridSpan w:val="4"/>
          </w:tcPr>
          <w:p w:rsidR="00E944BE" w:rsidRPr="00B91A17" w:rsidRDefault="00E944BE" w:rsidP="00E944BE">
            <w:pPr>
              <w:pStyle w:val="Odstavecseseznamem"/>
              <w:tabs>
                <w:tab w:val="left" w:pos="284"/>
              </w:tabs>
              <w:spacing w:after="60"/>
              <w:ind w:left="0"/>
              <w:jc w:val="left"/>
              <w:rPr>
                <w:sz w:val="20"/>
                <w:szCs w:val="20"/>
              </w:rPr>
            </w:pPr>
            <w:r w:rsidRPr="00B91A17">
              <w:rPr>
                <w:sz w:val="20"/>
                <w:szCs w:val="20"/>
              </w:rPr>
              <w:t>D) Motorová paliva ve vývoji použití a kvality</w:t>
            </w:r>
          </w:p>
        </w:tc>
      </w:tr>
      <w:tr w:rsidR="00E944BE" w:rsidRPr="007007F9" w:rsidTr="00E944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0" w:type="dxa"/>
            <w:gridSpan w:val="4"/>
          </w:tcPr>
          <w:p w:rsidR="00E944BE" w:rsidRPr="002C6371" w:rsidRDefault="00E944BE" w:rsidP="00E944BE">
            <w:pPr>
              <w:pStyle w:val="Odstavecseseznamem"/>
              <w:tabs>
                <w:tab w:val="left" w:pos="284"/>
              </w:tabs>
              <w:spacing w:after="60"/>
              <w:ind w:left="0"/>
              <w:jc w:val="left"/>
              <w:rPr>
                <w:sz w:val="20"/>
                <w:szCs w:val="20"/>
              </w:rPr>
            </w:pPr>
            <w:r w:rsidRPr="00B91A17">
              <w:rPr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t>1</w:t>
            </w:r>
            <w:r w:rsidRPr="00B91A17">
              <w:rPr>
                <w:sz w:val="20"/>
                <w:szCs w:val="20"/>
              </w:rPr>
              <w:t>) Tekutá paliva</w:t>
            </w:r>
          </w:p>
        </w:tc>
      </w:tr>
      <w:tr w:rsidR="00E944BE" w:rsidRPr="007007F9" w:rsidTr="00E944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:rsidR="00E944BE" w:rsidRPr="004665E4" w:rsidRDefault="00E944BE" w:rsidP="00E944BE">
            <w:pPr>
              <w:tabs>
                <w:tab w:val="left" w:pos="1004"/>
              </w:tabs>
              <w:spacing w:after="6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4665E4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Benziny s vysokým OČ pro zážehové motory</w:t>
            </w:r>
          </w:p>
        </w:tc>
        <w:tc>
          <w:tcPr>
            <w:tcW w:w="2126" w:type="dxa"/>
          </w:tcPr>
          <w:p w:rsidR="00E944BE" w:rsidRPr="00B91A17" w:rsidRDefault="00E944BE" w:rsidP="00E944BE">
            <w:pPr>
              <w:pStyle w:val="Odstavecseseznamem"/>
              <w:tabs>
                <w:tab w:val="left" w:pos="284"/>
              </w:tabs>
              <w:spacing w:after="60"/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:rsidR="00E944BE" w:rsidRPr="00B91A17" w:rsidRDefault="00E944BE" w:rsidP="00E944BE">
            <w:pPr>
              <w:tabs>
                <w:tab w:val="left" w:pos="1004"/>
              </w:tabs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91A17">
              <w:rPr>
                <w:rFonts w:ascii="Times New Roman" w:hAnsi="Times New Roman" w:cs="Times New Roman"/>
                <w:sz w:val="20"/>
                <w:szCs w:val="20"/>
              </w:rPr>
              <w:t>Benziny se zvýšeným OČ pro zážehové motory. Jedná se o vývoj benzinů s vyšším obsahem bio</w:t>
            </w:r>
            <w:r w:rsidR="00C0703E">
              <w:rPr>
                <w:rFonts w:ascii="Times New Roman" w:hAnsi="Times New Roman" w:cs="Times New Roman"/>
                <w:sz w:val="20"/>
                <w:szCs w:val="20"/>
              </w:rPr>
              <w:t>eta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nol</w:t>
            </w:r>
            <w:r w:rsidRPr="00B91A17">
              <w:rPr>
                <w:rFonts w:ascii="Times New Roman" w:hAnsi="Times New Roman" w:cs="Times New Roman"/>
                <w:sz w:val="20"/>
                <w:szCs w:val="20"/>
              </w:rPr>
              <w:t>u E10+ jako např. E20/E25.</w:t>
            </w:r>
          </w:p>
        </w:tc>
        <w:tc>
          <w:tcPr>
            <w:tcW w:w="3969" w:type="dxa"/>
          </w:tcPr>
          <w:p w:rsidR="00E944BE" w:rsidRPr="00B91A17" w:rsidRDefault="00E944BE" w:rsidP="00E944BE">
            <w:pPr>
              <w:tabs>
                <w:tab w:val="left" w:pos="1004"/>
              </w:tabs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B91A17">
              <w:rPr>
                <w:rFonts w:ascii="Times New Roman" w:hAnsi="Times New Roman" w:cs="Times New Roman"/>
                <w:sz w:val="20"/>
                <w:szCs w:val="20"/>
              </w:rPr>
              <w:t>alivo pro zážehové spalovací motory</w:t>
            </w:r>
          </w:p>
        </w:tc>
      </w:tr>
      <w:tr w:rsidR="00E944BE" w:rsidRPr="007007F9" w:rsidTr="00E944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:rsidR="00E944BE" w:rsidRPr="004665E4" w:rsidRDefault="00E944BE" w:rsidP="00E944BE">
            <w:pPr>
              <w:tabs>
                <w:tab w:val="left" w:pos="1004"/>
              </w:tabs>
              <w:spacing w:after="6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4665E4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M</w:t>
            </w:r>
            <w:r w:rsidR="00C0703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eta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nol</w:t>
            </w:r>
          </w:p>
          <w:p w:rsidR="00E944BE" w:rsidRPr="004665E4" w:rsidRDefault="00E944BE" w:rsidP="00E944BE">
            <w:pPr>
              <w:tabs>
                <w:tab w:val="left" w:pos="1004"/>
              </w:tabs>
              <w:spacing w:after="6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126" w:type="dxa"/>
          </w:tcPr>
          <w:p w:rsidR="00E944BE" w:rsidRPr="00A75D26" w:rsidRDefault="00E944BE" w:rsidP="00E944BE">
            <w:pPr>
              <w:pStyle w:val="Odstavecseseznamem"/>
              <w:tabs>
                <w:tab w:val="left" w:pos="284"/>
              </w:tabs>
              <w:spacing w:after="60"/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:rsidR="00E944BE" w:rsidRPr="00A75D26" w:rsidRDefault="00E944BE" w:rsidP="00E944BE">
            <w:pPr>
              <w:tabs>
                <w:tab w:val="left" w:pos="1004"/>
              </w:tabs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75D26">
              <w:rPr>
                <w:rFonts w:ascii="Times New Roman" w:hAnsi="Times New Roman" w:cs="Times New Roman"/>
                <w:sz w:val="20"/>
                <w:szCs w:val="20"/>
              </w:rPr>
              <w:t xml:space="preserve">Jedná se o </w:t>
            </w:r>
            <w:proofErr w:type="spellStart"/>
            <w:r w:rsidRPr="00A75D26">
              <w:rPr>
                <w:rFonts w:ascii="Times New Roman" w:hAnsi="Times New Roman" w:cs="Times New Roman"/>
                <w:sz w:val="20"/>
                <w:szCs w:val="20"/>
              </w:rPr>
              <w:t>biom</w:t>
            </w:r>
            <w:r w:rsidR="00C0703E">
              <w:rPr>
                <w:rFonts w:ascii="Times New Roman" w:hAnsi="Times New Roman" w:cs="Times New Roman"/>
                <w:sz w:val="20"/>
                <w:szCs w:val="20"/>
              </w:rPr>
              <w:t>eta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nol</w:t>
            </w:r>
            <w:proofErr w:type="spellEnd"/>
            <w:r w:rsidRPr="00A75D26">
              <w:rPr>
                <w:rFonts w:ascii="Times New Roman" w:hAnsi="Times New Roman" w:cs="Times New Roman"/>
                <w:sz w:val="20"/>
                <w:szCs w:val="20"/>
              </w:rPr>
              <w:t xml:space="preserve"> vyrobený 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n</w:t>
            </w:r>
            <w:r w:rsidRPr="00A75D26">
              <w:rPr>
                <w:rFonts w:ascii="Times New Roman" w:hAnsi="Times New Roman" w:cs="Times New Roman"/>
                <w:sz w:val="20"/>
                <w:szCs w:val="20"/>
              </w:rPr>
              <w:t>ízkonákladových odpadů a bioodpadů. Předpokládá se mísení do benzinů Výhodou je vyšší energetická účinnost a nižší emise částic NO.  Pro pohon jsou zkoumány vysoké směsi m</w:t>
            </w:r>
            <w:r w:rsidR="00C0703E">
              <w:rPr>
                <w:rFonts w:ascii="Times New Roman" w:hAnsi="Times New Roman" w:cs="Times New Roman"/>
                <w:sz w:val="20"/>
                <w:szCs w:val="20"/>
              </w:rPr>
              <w:t>eta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nol</w:t>
            </w:r>
            <w:r w:rsidRPr="00A75D26">
              <w:rPr>
                <w:rFonts w:ascii="Times New Roman" w:hAnsi="Times New Roman" w:cs="Times New Roman"/>
                <w:sz w:val="20"/>
                <w:szCs w:val="20"/>
              </w:rPr>
              <w:t xml:space="preserve">u (15 %) s benzinem (označení M15) a směsi benzin – </w:t>
            </w:r>
            <w:r w:rsidR="00C0703E">
              <w:rPr>
                <w:rFonts w:ascii="Times New Roman" w:hAnsi="Times New Roman" w:cs="Times New Roman"/>
                <w:sz w:val="20"/>
                <w:szCs w:val="20"/>
              </w:rPr>
              <w:t>eta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nol</w:t>
            </w:r>
            <w:r w:rsidRPr="00A75D26">
              <w:rPr>
                <w:rFonts w:ascii="Times New Roman" w:hAnsi="Times New Roman" w:cs="Times New Roman"/>
                <w:sz w:val="20"/>
                <w:szCs w:val="20"/>
              </w:rPr>
              <w:t xml:space="preserve"> – m</w:t>
            </w:r>
            <w:r w:rsidR="00C0703E">
              <w:rPr>
                <w:rFonts w:ascii="Times New Roman" w:hAnsi="Times New Roman" w:cs="Times New Roman"/>
                <w:sz w:val="20"/>
                <w:szCs w:val="20"/>
              </w:rPr>
              <w:t>eta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nol</w:t>
            </w:r>
            <w:r w:rsidRPr="00A75D2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969" w:type="dxa"/>
          </w:tcPr>
          <w:p w:rsidR="00E944BE" w:rsidRPr="00A75D26" w:rsidRDefault="00E944BE" w:rsidP="00E944BE">
            <w:pPr>
              <w:tabs>
                <w:tab w:val="left" w:pos="1004"/>
              </w:tabs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75D26">
              <w:rPr>
                <w:rFonts w:ascii="Times New Roman" w:hAnsi="Times New Roman" w:cs="Times New Roman"/>
                <w:sz w:val="20"/>
                <w:szCs w:val="20"/>
              </w:rPr>
              <w:t>palivo pro zážehové spalovací motory</w:t>
            </w:r>
          </w:p>
        </w:tc>
      </w:tr>
      <w:tr w:rsidR="00E944BE" w:rsidRPr="007007F9" w:rsidTr="00E944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:rsidR="00E944BE" w:rsidRPr="004665E4" w:rsidRDefault="00E944BE" w:rsidP="00E944BE">
            <w:pPr>
              <w:tabs>
                <w:tab w:val="left" w:pos="1004"/>
              </w:tabs>
              <w:spacing w:after="6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4665E4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lastRenderedPageBreak/>
              <w:t>Emulzní nafta</w:t>
            </w:r>
          </w:p>
        </w:tc>
        <w:tc>
          <w:tcPr>
            <w:tcW w:w="2126" w:type="dxa"/>
          </w:tcPr>
          <w:p w:rsidR="00E944BE" w:rsidRPr="00A75D26" w:rsidRDefault="00E944BE" w:rsidP="00E944BE">
            <w:pPr>
              <w:pStyle w:val="Odstavecseseznamem"/>
              <w:tabs>
                <w:tab w:val="left" w:pos="284"/>
              </w:tabs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75D26">
              <w:rPr>
                <w:sz w:val="20"/>
                <w:szCs w:val="20"/>
              </w:rPr>
              <w:t>CWA 15145</w:t>
            </w:r>
          </w:p>
          <w:p w:rsidR="00E944BE" w:rsidRPr="00A75D26" w:rsidRDefault="00E944BE" w:rsidP="00E944BE">
            <w:pPr>
              <w:pStyle w:val="Odstavecseseznamem"/>
              <w:tabs>
                <w:tab w:val="left" w:pos="284"/>
              </w:tabs>
              <w:spacing w:after="60"/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75D26">
              <w:rPr>
                <w:sz w:val="20"/>
                <w:szCs w:val="20"/>
              </w:rPr>
              <w:t>(ČSN 65 6509)</w:t>
            </w:r>
          </w:p>
        </w:tc>
        <w:tc>
          <w:tcPr>
            <w:tcW w:w="3969" w:type="dxa"/>
          </w:tcPr>
          <w:p w:rsidR="00E944BE" w:rsidRPr="00A75D26" w:rsidRDefault="00E944BE" w:rsidP="00E944BE">
            <w:pPr>
              <w:tabs>
                <w:tab w:val="left" w:pos="1004"/>
              </w:tabs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75D26">
              <w:rPr>
                <w:rFonts w:ascii="Times New Roman" w:hAnsi="Times New Roman" w:cs="Times New Roman"/>
                <w:sz w:val="20"/>
                <w:szCs w:val="20"/>
              </w:rPr>
              <w:t>Emulzní naftu nelze mísit s motorovou naftou EN 590.</w:t>
            </w:r>
          </w:p>
        </w:tc>
        <w:tc>
          <w:tcPr>
            <w:tcW w:w="3969" w:type="dxa"/>
          </w:tcPr>
          <w:p w:rsidR="00E944BE" w:rsidRDefault="00E944BE" w:rsidP="00E944BE">
            <w:pPr>
              <w:tabs>
                <w:tab w:val="left" w:pos="1004"/>
              </w:tabs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75D26">
              <w:rPr>
                <w:rFonts w:ascii="Times New Roman" w:hAnsi="Times New Roman" w:cs="Times New Roman"/>
                <w:sz w:val="20"/>
                <w:szCs w:val="20"/>
              </w:rPr>
              <w:t xml:space="preserve">ve vybraných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A75D26">
              <w:rPr>
                <w:rFonts w:ascii="Times New Roman" w:hAnsi="Times New Roman" w:cs="Times New Roman"/>
                <w:sz w:val="20"/>
                <w:szCs w:val="20"/>
              </w:rPr>
              <w:t>ies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A75D26">
              <w:rPr>
                <w:rFonts w:ascii="Times New Roman" w:hAnsi="Times New Roman" w:cs="Times New Roman"/>
                <w:sz w:val="20"/>
                <w:szCs w:val="20"/>
              </w:rPr>
              <w:t>lových motorech, použití je velmi omezené</w:t>
            </w:r>
          </w:p>
        </w:tc>
      </w:tr>
      <w:tr w:rsidR="00E944BE" w:rsidRPr="007007F9" w:rsidTr="00E944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:rsidR="00E944BE" w:rsidRPr="004665E4" w:rsidRDefault="00E944BE" w:rsidP="00E944BE">
            <w:pPr>
              <w:tabs>
                <w:tab w:val="left" w:pos="1004"/>
              </w:tabs>
              <w:spacing w:after="6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4665E4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Čisté rostlinné oleje /řepkový olej pro spalovací motory</w:t>
            </w:r>
          </w:p>
        </w:tc>
        <w:tc>
          <w:tcPr>
            <w:tcW w:w="2126" w:type="dxa"/>
          </w:tcPr>
          <w:p w:rsidR="00E944BE" w:rsidRPr="001607BF" w:rsidRDefault="00E944BE" w:rsidP="00E944BE">
            <w:pPr>
              <w:pStyle w:val="Odstavecseseznamem"/>
              <w:tabs>
                <w:tab w:val="left" w:pos="284"/>
              </w:tabs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607BF">
              <w:rPr>
                <w:sz w:val="20"/>
                <w:szCs w:val="20"/>
              </w:rPr>
              <w:t>CWA 16379/</w:t>
            </w:r>
          </w:p>
          <w:p w:rsidR="00E944BE" w:rsidRPr="001607BF" w:rsidRDefault="00E944BE" w:rsidP="00E944BE">
            <w:pPr>
              <w:pStyle w:val="Odstavecseseznamem"/>
              <w:tabs>
                <w:tab w:val="left" w:pos="284"/>
              </w:tabs>
              <w:spacing w:after="60"/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607BF">
              <w:rPr>
                <w:sz w:val="20"/>
                <w:szCs w:val="20"/>
              </w:rPr>
              <w:t>ČSN 65 6516</w:t>
            </w:r>
          </w:p>
        </w:tc>
        <w:tc>
          <w:tcPr>
            <w:tcW w:w="3969" w:type="dxa"/>
          </w:tcPr>
          <w:p w:rsidR="00E944BE" w:rsidRPr="001607BF" w:rsidRDefault="00E944BE" w:rsidP="00E944BE">
            <w:pPr>
              <w:tabs>
                <w:tab w:val="left" w:pos="1004"/>
              </w:tabs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54A5B">
              <w:rPr>
                <w:rFonts w:ascii="Times New Roman" w:hAnsi="Times New Roman" w:cs="Times New Roman"/>
                <w:sz w:val="20"/>
                <w:szCs w:val="20"/>
              </w:rPr>
              <w:t>nevýhody – vysoká viskozita, nízké cetanové číslo, špatná skladovatelnost (stabilita)</w:t>
            </w:r>
          </w:p>
        </w:tc>
        <w:tc>
          <w:tcPr>
            <w:tcW w:w="3969" w:type="dxa"/>
          </w:tcPr>
          <w:p w:rsidR="00E944BE" w:rsidRPr="001607BF" w:rsidRDefault="00E944BE" w:rsidP="00E944BE">
            <w:pPr>
              <w:tabs>
                <w:tab w:val="left" w:pos="1004"/>
              </w:tabs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54A5B">
              <w:rPr>
                <w:rFonts w:ascii="Times New Roman" w:hAnsi="Times New Roman" w:cs="Times New Roman"/>
                <w:sz w:val="20"/>
                <w:szCs w:val="20"/>
              </w:rPr>
              <w:t>v 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za</w:t>
            </w:r>
            <w:r w:rsidRPr="00E54A5B">
              <w:rPr>
                <w:rFonts w:ascii="Times New Roman" w:hAnsi="Times New Roman" w:cs="Times New Roman"/>
                <w:sz w:val="20"/>
                <w:szCs w:val="20"/>
              </w:rPr>
              <w:t>vřených vozových parcích, výrobci motorů obecně nepodporují</w:t>
            </w:r>
          </w:p>
        </w:tc>
      </w:tr>
      <w:tr w:rsidR="00E944BE" w:rsidRPr="007007F9" w:rsidTr="00E944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:rsidR="00E944BE" w:rsidRPr="004665E4" w:rsidRDefault="00E944BE" w:rsidP="00E944BE">
            <w:pPr>
              <w:tabs>
                <w:tab w:val="left" w:pos="1004"/>
              </w:tabs>
              <w:spacing w:after="6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4665E4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Motorová nafta s vyšším obsahem FAME/MEŘO B10</w:t>
            </w:r>
          </w:p>
        </w:tc>
        <w:tc>
          <w:tcPr>
            <w:tcW w:w="2126" w:type="dxa"/>
          </w:tcPr>
          <w:p w:rsidR="00E944BE" w:rsidRPr="00834690" w:rsidRDefault="00E944BE" w:rsidP="00E944BE">
            <w:pPr>
              <w:tabs>
                <w:tab w:val="left" w:pos="1004"/>
              </w:tabs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4690">
              <w:rPr>
                <w:rFonts w:ascii="Times New Roman" w:hAnsi="Times New Roman" w:cs="Times New Roman"/>
                <w:sz w:val="20"/>
                <w:szCs w:val="20"/>
              </w:rPr>
              <w:t>ČSN EN 16734+A1</w:t>
            </w:r>
          </w:p>
        </w:tc>
        <w:tc>
          <w:tcPr>
            <w:tcW w:w="3969" w:type="dxa"/>
          </w:tcPr>
          <w:p w:rsidR="00E944BE" w:rsidRPr="00834690" w:rsidRDefault="00E944BE" w:rsidP="00E944BE">
            <w:pPr>
              <w:tabs>
                <w:tab w:val="left" w:pos="1004"/>
              </w:tabs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4690">
              <w:rPr>
                <w:rFonts w:ascii="Times New Roman" w:hAnsi="Times New Roman" w:cs="Times New Roman"/>
                <w:sz w:val="20"/>
                <w:szCs w:val="20"/>
              </w:rPr>
              <w:t>motorová nafta dle EN 590 s obsahem FAME/MEŘO do 10 % V/V</w:t>
            </w:r>
          </w:p>
          <w:p w:rsidR="00E944BE" w:rsidRPr="00834690" w:rsidRDefault="00E944BE" w:rsidP="00E944BE">
            <w:pPr>
              <w:tabs>
                <w:tab w:val="left" w:pos="1004"/>
              </w:tabs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E944BE" w:rsidRPr="00834690" w:rsidRDefault="00E944BE" w:rsidP="00E944BE">
            <w:pPr>
              <w:tabs>
                <w:tab w:val="left" w:pos="1004"/>
              </w:tabs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4690">
              <w:rPr>
                <w:rFonts w:ascii="Times New Roman" w:hAnsi="Times New Roman" w:cs="Times New Roman"/>
                <w:sz w:val="20"/>
                <w:szCs w:val="20"/>
              </w:rPr>
              <w:t>palivo pro vymezený okruh vozidel se vznětovým motorem</w:t>
            </w:r>
          </w:p>
        </w:tc>
      </w:tr>
      <w:tr w:rsidR="00E944BE" w:rsidRPr="007007F9" w:rsidTr="00E944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:rsidR="00E944BE" w:rsidRPr="004665E4" w:rsidRDefault="00E944BE" w:rsidP="00E944BE">
            <w:pPr>
              <w:tabs>
                <w:tab w:val="left" w:pos="1004"/>
              </w:tabs>
              <w:spacing w:after="6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4665E4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Motorová nafta s vysokým obsahem FAME (B20/B30)</w:t>
            </w:r>
          </w:p>
        </w:tc>
        <w:tc>
          <w:tcPr>
            <w:tcW w:w="2126" w:type="dxa"/>
          </w:tcPr>
          <w:p w:rsidR="00E944BE" w:rsidRPr="005B3F08" w:rsidRDefault="00E944BE" w:rsidP="00E944BE">
            <w:pPr>
              <w:pStyle w:val="Odstavecseseznamem"/>
              <w:tabs>
                <w:tab w:val="left" w:pos="284"/>
              </w:tabs>
              <w:spacing w:after="60"/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B3F08">
              <w:rPr>
                <w:sz w:val="20"/>
                <w:szCs w:val="20"/>
              </w:rPr>
              <w:t>ČSN EN167091+A1</w:t>
            </w:r>
          </w:p>
        </w:tc>
        <w:tc>
          <w:tcPr>
            <w:tcW w:w="3969" w:type="dxa"/>
          </w:tcPr>
          <w:p w:rsidR="00E944BE" w:rsidRPr="00834690" w:rsidRDefault="00E944BE" w:rsidP="00E944BE">
            <w:pPr>
              <w:tabs>
                <w:tab w:val="left" w:pos="1004"/>
              </w:tabs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3F08">
              <w:rPr>
                <w:rFonts w:ascii="Times New Roman" w:hAnsi="Times New Roman" w:cs="Times New Roman"/>
                <w:sz w:val="20"/>
                <w:szCs w:val="20"/>
              </w:rPr>
              <w:t>motorová nafta s vysokým obsahem FAME/MEŘO</w:t>
            </w:r>
          </w:p>
        </w:tc>
        <w:tc>
          <w:tcPr>
            <w:tcW w:w="3969" w:type="dxa"/>
          </w:tcPr>
          <w:p w:rsidR="00E944BE" w:rsidRPr="00834690" w:rsidRDefault="00E944BE" w:rsidP="00E944BE">
            <w:pPr>
              <w:tabs>
                <w:tab w:val="left" w:pos="1004"/>
              </w:tabs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3F08">
              <w:rPr>
                <w:rFonts w:ascii="Times New Roman" w:hAnsi="Times New Roman" w:cs="Times New Roman"/>
                <w:sz w:val="20"/>
                <w:szCs w:val="20"/>
              </w:rPr>
              <w:t>palivo pro vymezený okruh vozidel se vznětovým motorem</w:t>
            </w:r>
          </w:p>
        </w:tc>
      </w:tr>
      <w:tr w:rsidR="00E944BE" w:rsidRPr="007007F9" w:rsidTr="00E944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0" w:type="dxa"/>
            <w:gridSpan w:val="4"/>
          </w:tcPr>
          <w:p w:rsidR="00E944BE" w:rsidRPr="00DD6060" w:rsidRDefault="00E944BE" w:rsidP="00E944BE">
            <w:pPr>
              <w:pStyle w:val="Odstavecseseznamem"/>
              <w:tabs>
                <w:tab w:val="left" w:pos="284"/>
              </w:tabs>
              <w:spacing w:after="60"/>
              <w:ind w:left="0"/>
              <w:jc w:val="left"/>
              <w:rPr>
                <w:sz w:val="20"/>
                <w:szCs w:val="20"/>
              </w:rPr>
            </w:pPr>
            <w:r w:rsidRPr="00DD6060">
              <w:rPr>
                <w:sz w:val="20"/>
                <w:szCs w:val="20"/>
              </w:rPr>
              <w:t>D2) Plynná paliva</w:t>
            </w:r>
          </w:p>
        </w:tc>
      </w:tr>
      <w:tr w:rsidR="00E944BE" w:rsidRPr="007007F9" w:rsidTr="00E944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:rsidR="00E944BE" w:rsidRPr="004665E4" w:rsidRDefault="00E944BE" w:rsidP="00E944BE">
            <w:pPr>
              <w:tabs>
                <w:tab w:val="left" w:pos="1004"/>
              </w:tabs>
              <w:spacing w:after="6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4665E4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LPG a </w:t>
            </w:r>
            <w:proofErr w:type="spellStart"/>
            <w:r w:rsidRPr="004665E4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bioLPG</w:t>
            </w:r>
            <w:proofErr w:type="spellEnd"/>
            <w:r w:rsidRPr="004665E4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(zkapalněné ropné plyny)</w:t>
            </w:r>
          </w:p>
        </w:tc>
        <w:tc>
          <w:tcPr>
            <w:tcW w:w="2126" w:type="dxa"/>
          </w:tcPr>
          <w:p w:rsidR="00E944BE" w:rsidRPr="00834690" w:rsidRDefault="00E944BE" w:rsidP="00E944BE">
            <w:pPr>
              <w:tabs>
                <w:tab w:val="left" w:pos="1004"/>
              </w:tabs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060">
              <w:rPr>
                <w:rFonts w:ascii="Times New Roman" w:hAnsi="Times New Roman" w:cs="Times New Roman"/>
                <w:sz w:val="20"/>
                <w:szCs w:val="20"/>
              </w:rPr>
              <w:t>EN 589</w:t>
            </w:r>
          </w:p>
        </w:tc>
        <w:tc>
          <w:tcPr>
            <w:tcW w:w="3969" w:type="dxa"/>
          </w:tcPr>
          <w:p w:rsidR="00E944BE" w:rsidRPr="00834690" w:rsidRDefault="00E944BE" w:rsidP="00E944BE">
            <w:pPr>
              <w:tabs>
                <w:tab w:val="left" w:pos="1004"/>
              </w:tabs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060">
              <w:rPr>
                <w:rFonts w:ascii="Times New Roman" w:hAnsi="Times New Roman" w:cs="Times New Roman"/>
                <w:sz w:val="20"/>
                <w:szCs w:val="20"/>
              </w:rPr>
              <w:t>jedná se o vedlejší prod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DD6060">
              <w:rPr>
                <w:rFonts w:ascii="Times New Roman" w:hAnsi="Times New Roman" w:cs="Times New Roman"/>
                <w:sz w:val="20"/>
                <w:szCs w:val="20"/>
              </w:rPr>
              <w:t>kt výroby bionafty 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D6060">
              <w:rPr>
                <w:rFonts w:ascii="Times New Roman" w:hAnsi="Times New Roman" w:cs="Times New Roman"/>
                <w:sz w:val="20"/>
                <w:szCs w:val="20"/>
              </w:rPr>
              <w:t>HVO</w:t>
            </w:r>
          </w:p>
        </w:tc>
        <w:tc>
          <w:tcPr>
            <w:tcW w:w="3969" w:type="dxa"/>
          </w:tcPr>
          <w:p w:rsidR="00E944BE" w:rsidRPr="00DD6060" w:rsidRDefault="00E944BE" w:rsidP="00E944BE">
            <w:pPr>
              <w:pStyle w:val="Odstavecseseznamem"/>
              <w:tabs>
                <w:tab w:val="left" w:pos="284"/>
              </w:tabs>
              <w:spacing w:after="60"/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D6060">
              <w:rPr>
                <w:sz w:val="20"/>
                <w:szCs w:val="20"/>
              </w:rPr>
              <w:t>pohon zážehových motorů</w:t>
            </w:r>
          </w:p>
        </w:tc>
      </w:tr>
      <w:tr w:rsidR="00E944BE" w:rsidRPr="007007F9" w:rsidTr="00E944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:rsidR="00E944BE" w:rsidRPr="004665E4" w:rsidRDefault="00E944BE" w:rsidP="00E944BE">
            <w:pPr>
              <w:pStyle w:val="Odstavecseseznamem"/>
              <w:tabs>
                <w:tab w:val="left" w:pos="284"/>
              </w:tabs>
              <w:spacing w:after="60"/>
              <w:ind w:left="0"/>
              <w:jc w:val="left"/>
              <w:rPr>
                <w:b w:val="0"/>
                <w:bCs w:val="0"/>
                <w:sz w:val="20"/>
                <w:szCs w:val="20"/>
              </w:rPr>
            </w:pPr>
            <w:r w:rsidRPr="004665E4">
              <w:rPr>
                <w:b w:val="0"/>
                <w:bCs w:val="0"/>
                <w:sz w:val="20"/>
                <w:szCs w:val="20"/>
              </w:rPr>
              <w:t xml:space="preserve">LNG a </w:t>
            </w:r>
            <w:proofErr w:type="spellStart"/>
            <w:r w:rsidRPr="004665E4">
              <w:rPr>
                <w:b w:val="0"/>
                <w:bCs w:val="0"/>
                <w:sz w:val="20"/>
                <w:szCs w:val="20"/>
              </w:rPr>
              <w:t>bioLNG</w:t>
            </w:r>
            <w:proofErr w:type="spellEnd"/>
          </w:p>
        </w:tc>
        <w:tc>
          <w:tcPr>
            <w:tcW w:w="2126" w:type="dxa"/>
          </w:tcPr>
          <w:p w:rsidR="00E944BE" w:rsidRPr="00DD6060" w:rsidRDefault="00E944BE" w:rsidP="00E944BE">
            <w:pPr>
              <w:pStyle w:val="Standard"/>
              <w:tabs>
                <w:tab w:val="left" w:pos="284"/>
              </w:tabs>
              <w:spacing w:after="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D6060">
              <w:rPr>
                <w:sz w:val="20"/>
                <w:szCs w:val="20"/>
              </w:rPr>
              <w:t>EN 16723-2</w:t>
            </w:r>
          </w:p>
        </w:tc>
        <w:tc>
          <w:tcPr>
            <w:tcW w:w="3969" w:type="dxa"/>
          </w:tcPr>
          <w:p w:rsidR="00E944BE" w:rsidRPr="00834690" w:rsidRDefault="00E944BE" w:rsidP="00E944BE">
            <w:pPr>
              <w:tabs>
                <w:tab w:val="left" w:pos="1004"/>
              </w:tabs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060">
              <w:rPr>
                <w:rFonts w:ascii="Times New Roman" w:hAnsi="Times New Roman" w:cs="Times New Roman"/>
                <w:sz w:val="20"/>
                <w:szCs w:val="20"/>
              </w:rPr>
              <w:t>používané zařízení a vybavení je urče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DD6060">
              <w:rPr>
                <w:rFonts w:ascii="Times New Roman" w:hAnsi="Times New Roman" w:cs="Times New Roman"/>
                <w:sz w:val="20"/>
                <w:szCs w:val="20"/>
              </w:rPr>
              <w:t>o EN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D6060">
              <w:rPr>
                <w:rFonts w:ascii="Times New Roman" w:hAnsi="Times New Roman" w:cs="Times New Roman"/>
                <w:sz w:val="20"/>
                <w:szCs w:val="20"/>
              </w:rPr>
              <w:t>1160</w:t>
            </w:r>
          </w:p>
        </w:tc>
        <w:tc>
          <w:tcPr>
            <w:tcW w:w="3969" w:type="dxa"/>
          </w:tcPr>
          <w:p w:rsidR="00E944BE" w:rsidRPr="00834690" w:rsidRDefault="00E944BE" w:rsidP="00E944BE">
            <w:pPr>
              <w:tabs>
                <w:tab w:val="left" w:pos="1004"/>
              </w:tabs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060">
              <w:rPr>
                <w:rFonts w:ascii="Times New Roman" w:hAnsi="Times New Roman" w:cs="Times New Roman"/>
                <w:sz w:val="20"/>
                <w:szCs w:val="20"/>
              </w:rPr>
              <w:t>především v dies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DD6060">
              <w:rPr>
                <w:rFonts w:ascii="Times New Roman" w:hAnsi="Times New Roman" w:cs="Times New Roman"/>
                <w:sz w:val="20"/>
                <w:szCs w:val="20"/>
              </w:rPr>
              <w:t>lových motorech autobusů 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nákladních automobilů</w:t>
            </w:r>
          </w:p>
        </w:tc>
      </w:tr>
      <w:tr w:rsidR="00E944BE" w:rsidRPr="007007F9" w:rsidTr="00E944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:rsidR="00E944BE" w:rsidRPr="004665E4" w:rsidRDefault="00E944BE" w:rsidP="00E944BE">
            <w:pPr>
              <w:tabs>
                <w:tab w:val="left" w:pos="1004"/>
              </w:tabs>
              <w:spacing w:after="6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4665E4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bioplyn</w:t>
            </w:r>
          </w:p>
        </w:tc>
        <w:tc>
          <w:tcPr>
            <w:tcW w:w="2126" w:type="dxa"/>
          </w:tcPr>
          <w:p w:rsidR="00E944BE" w:rsidRPr="00834690" w:rsidRDefault="00E944BE" w:rsidP="00E944BE">
            <w:pPr>
              <w:tabs>
                <w:tab w:val="left" w:pos="1004"/>
              </w:tabs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E944BE" w:rsidRPr="00834690" w:rsidRDefault="00E944BE" w:rsidP="00E944BE">
            <w:pPr>
              <w:tabs>
                <w:tab w:val="left" w:pos="1004"/>
              </w:tabs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0005">
              <w:rPr>
                <w:rFonts w:ascii="Times New Roman" w:hAnsi="Times New Roman" w:cs="Times New Roman"/>
                <w:sz w:val="20"/>
                <w:szCs w:val="20"/>
              </w:rPr>
              <w:t>složení CH4 a CO2 dle zdroje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E0005">
              <w:rPr>
                <w:rFonts w:ascii="Times New Roman" w:hAnsi="Times New Roman" w:cs="Times New Roman"/>
                <w:sz w:val="20"/>
                <w:szCs w:val="20"/>
              </w:rPr>
              <w:t xml:space="preserve">má silně korozivní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ú</w:t>
            </w:r>
            <w:r w:rsidRPr="005E0005">
              <w:rPr>
                <w:rFonts w:ascii="Times New Roman" w:hAnsi="Times New Roman" w:cs="Times New Roman"/>
                <w:sz w:val="20"/>
                <w:szCs w:val="20"/>
              </w:rPr>
              <w:t>činky a musí se čistit</w:t>
            </w:r>
          </w:p>
        </w:tc>
        <w:tc>
          <w:tcPr>
            <w:tcW w:w="3969" w:type="dxa"/>
          </w:tcPr>
          <w:p w:rsidR="00E944BE" w:rsidRPr="00834690" w:rsidRDefault="00E944BE" w:rsidP="00E944BE">
            <w:pPr>
              <w:tabs>
                <w:tab w:val="left" w:pos="1004"/>
              </w:tabs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0005">
              <w:rPr>
                <w:rFonts w:ascii="Times New Roman" w:hAnsi="Times New Roman" w:cs="Times New Roman"/>
                <w:sz w:val="20"/>
                <w:szCs w:val="20"/>
              </w:rPr>
              <w:t>lokální použití v kombinovaných zdro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jích </w:t>
            </w:r>
            <w:r w:rsidRPr="005E0005">
              <w:rPr>
                <w:rFonts w:ascii="Times New Roman" w:hAnsi="Times New Roman" w:cs="Times New Roman"/>
                <w:sz w:val="20"/>
                <w:szCs w:val="20"/>
              </w:rPr>
              <w:t>pro výrobu tepla a 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le</w:t>
            </w:r>
            <w:r w:rsidRPr="005E0005">
              <w:rPr>
                <w:rFonts w:ascii="Times New Roman" w:hAnsi="Times New Roman" w:cs="Times New Roman"/>
                <w:sz w:val="20"/>
                <w:szCs w:val="20"/>
              </w:rPr>
              <w:t>ktrické energie</w:t>
            </w:r>
          </w:p>
        </w:tc>
      </w:tr>
      <w:tr w:rsidR="00E944BE" w:rsidRPr="007007F9" w:rsidTr="00E944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:rsidR="00E944BE" w:rsidRPr="004665E4" w:rsidRDefault="00E944BE" w:rsidP="00E944BE">
            <w:pPr>
              <w:pStyle w:val="Odstavecseseznamem"/>
              <w:tabs>
                <w:tab w:val="left" w:pos="284"/>
              </w:tabs>
              <w:spacing w:after="60"/>
              <w:ind w:left="0"/>
              <w:jc w:val="left"/>
              <w:rPr>
                <w:b w:val="0"/>
                <w:bCs w:val="0"/>
                <w:sz w:val="20"/>
                <w:szCs w:val="20"/>
              </w:rPr>
            </w:pPr>
            <w:r w:rsidRPr="004665E4">
              <w:rPr>
                <w:b w:val="0"/>
                <w:bCs w:val="0"/>
                <w:sz w:val="20"/>
                <w:szCs w:val="20"/>
              </w:rPr>
              <w:t>DME (dime</w:t>
            </w:r>
            <w:r w:rsidR="00CA67E5">
              <w:rPr>
                <w:b w:val="0"/>
                <w:bCs w:val="0"/>
                <w:sz w:val="20"/>
                <w:szCs w:val="20"/>
              </w:rPr>
              <w:t>tyléter</w:t>
            </w:r>
            <w:r w:rsidRPr="004665E4">
              <w:rPr>
                <w:b w:val="0"/>
                <w:bCs w:val="0"/>
                <w:sz w:val="20"/>
                <w:szCs w:val="20"/>
              </w:rPr>
              <w:t>)</w:t>
            </w:r>
          </w:p>
        </w:tc>
        <w:tc>
          <w:tcPr>
            <w:tcW w:w="2126" w:type="dxa"/>
          </w:tcPr>
          <w:p w:rsidR="00E944BE" w:rsidRPr="00834690" w:rsidRDefault="00E944BE" w:rsidP="00E944BE">
            <w:pPr>
              <w:tabs>
                <w:tab w:val="left" w:pos="1004"/>
              </w:tabs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61FB">
              <w:rPr>
                <w:rFonts w:ascii="Times New Roman" w:hAnsi="Times New Roman" w:cs="Times New Roman"/>
                <w:sz w:val="20"/>
                <w:szCs w:val="20"/>
              </w:rPr>
              <w:t>specifikace ISO 17786</w:t>
            </w:r>
          </w:p>
        </w:tc>
        <w:tc>
          <w:tcPr>
            <w:tcW w:w="3969" w:type="dxa"/>
          </w:tcPr>
          <w:p w:rsidR="00E944BE" w:rsidRPr="005E0005" w:rsidRDefault="00E944BE" w:rsidP="00E944BE">
            <w:pPr>
              <w:tabs>
                <w:tab w:val="left" w:pos="1004"/>
              </w:tabs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61FB">
              <w:rPr>
                <w:rFonts w:ascii="Times New Roman" w:hAnsi="Times New Roman" w:cs="Times New Roman"/>
                <w:sz w:val="20"/>
                <w:szCs w:val="20"/>
              </w:rPr>
              <w:t>je slibným palivem pro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261FB">
              <w:rPr>
                <w:rFonts w:ascii="Times New Roman" w:hAnsi="Times New Roman" w:cs="Times New Roman"/>
                <w:sz w:val="20"/>
                <w:szCs w:val="20"/>
              </w:rPr>
              <w:t>vznětové motory, má vysokou energetickou účinnost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261FB">
              <w:rPr>
                <w:rFonts w:ascii="Times New Roman" w:hAnsi="Times New Roman" w:cs="Times New Roman"/>
                <w:sz w:val="20"/>
                <w:szCs w:val="20"/>
              </w:rPr>
              <w:t>při spalování nízkou kouřivost a emise pevných látek</w:t>
            </w:r>
          </w:p>
        </w:tc>
        <w:tc>
          <w:tcPr>
            <w:tcW w:w="3969" w:type="dxa"/>
          </w:tcPr>
          <w:p w:rsidR="00E944BE" w:rsidRPr="005E0005" w:rsidRDefault="00E944BE" w:rsidP="00E944BE">
            <w:pPr>
              <w:tabs>
                <w:tab w:val="left" w:pos="1004"/>
              </w:tabs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61FB">
              <w:rPr>
                <w:rFonts w:ascii="Times New Roman" w:hAnsi="Times New Roman" w:cs="Times New Roman"/>
                <w:sz w:val="20"/>
                <w:szCs w:val="20"/>
              </w:rPr>
              <w:t xml:space="preserve">jako náhrada za LPG v </w:t>
            </w:r>
            <w:proofErr w:type="spellStart"/>
            <w:r w:rsidRPr="004261FB">
              <w:rPr>
                <w:rFonts w:ascii="Times New Roman" w:hAnsi="Times New Roman" w:cs="Times New Roman"/>
                <w:sz w:val="20"/>
                <w:szCs w:val="20"/>
              </w:rPr>
              <w:t>nepalivářském</w:t>
            </w:r>
            <w:proofErr w:type="spellEnd"/>
            <w:r w:rsidRPr="004261FB">
              <w:rPr>
                <w:rFonts w:ascii="Times New Roman" w:hAnsi="Times New Roman" w:cs="Times New Roman"/>
                <w:sz w:val="20"/>
                <w:szCs w:val="20"/>
              </w:rPr>
              <w:t xml:space="preserve"> průmyslu, zatím není perspektivní</w:t>
            </w:r>
          </w:p>
        </w:tc>
      </w:tr>
      <w:tr w:rsidR="00E944BE" w:rsidRPr="007007F9" w:rsidTr="00E944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:rsidR="00E944BE" w:rsidRPr="004665E4" w:rsidRDefault="00E944BE" w:rsidP="00E944BE">
            <w:pPr>
              <w:tabs>
                <w:tab w:val="left" w:pos="1004"/>
              </w:tabs>
              <w:spacing w:after="6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4665E4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vodík</w:t>
            </w:r>
          </w:p>
        </w:tc>
        <w:tc>
          <w:tcPr>
            <w:tcW w:w="2126" w:type="dxa"/>
          </w:tcPr>
          <w:p w:rsidR="00E944BE" w:rsidRPr="00834690" w:rsidRDefault="00E944BE" w:rsidP="00E944BE">
            <w:pPr>
              <w:tabs>
                <w:tab w:val="left" w:pos="1004"/>
              </w:tabs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4379">
              <w:rPr>
                <w:rFonts w:ascii="Times New Roman" w:hAnsi="Times New Roman" w:cs="Times New Roman"/>
                <w:sz w:val="20"/>
                <w:szCs w:val="20"/>
              </w:rPr>
              <w:t>ČSN ISO 14687-1 vodíkové palivo – specifikace výrobku 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34379">
              <w:rPr>
                <w:rFonts w:ascii="Times New Roman" w:hAnsi="Times New Roman" w:cs="Times New Roman"/>
                <w:sz w:val="20"/>
                <w:szCs w:val="20"/>
              </w:rPr>
              <w:t xml:space="preserve">14688-2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E34379">
              <w:rPr>
                <w:rFonts w:ascii="Times New Roman" w:hAnsi="Times New Roman" w:cs="Times New Roman"/>
                <w:sz w:val="20"/>
                <w:szCs w:val="20"/>
              </w:rPr>
              <w:t xml:space="preserve"> vodíkové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34379">
              <w:rPr>
                <w:rFonts w:ascii="Times New Roman" w:hAnsi="Times New Roman" w:cs="Times New Roman"/>
                <w:sz w:val="20"/>
                <w:szCs w:val="20"/>
              </w:rPr>
              <w:t>palivo</w:t>
            </w:r>
          </w:p>
        </w:tc>
        <w:tc>
          <w:tcPr>
            <w:tcW w:w="3969" w:type="dxa"/>
          </w:tcPr>
          <w:p w:rsidR="00E944BE" w:rsidRPr="007571BC" w:rsidRDefault="00E944BE" w:rsidP="00E944BE">
            <w:pPr>
              <w:tabs>
                <w:tab w:val="left" w:pos="1004"/>
              </w:tabs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571BC">
              <w:rPr>
                <w:rFonts w:ascii="Times New Roman" w:hAnsi="Times New Roman" w:cs="Times New Roman"/>
                <w:sz w:val="20"/>
                <w:szCs w:val="20"/>
              </w:rPr>
              <w:t>vodík vyrobený petrochemickými procesy 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7571BC">
              <w:rPr>
                <w:rFonts w:ascii="Times New Roman" w:hAnsi="Times New Roman" w:cs="Times New Roman"/>
                <w:sz w:val="20"/>
                <w:szCs w:val="20"/>
              </w:rPr>
              <w:t>elektrolýzou vody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 b</w:t>
            </w:r>
            <w:r w:rsidRPr="007571BC">
              <w:rPr>
                <w:rFonts w:ascii="Times New Roman" w:hAnsi="Times New Roman" w:cs="Times New Roman"/>
                <w:sz w:val="20"/>
                <w:szCs w:val="20"/>
              </w:rPr>
              <w:t>iovodík na principu výroby biomasy</w:t>
            </w:r>
          </w:p>
        </w:tc>
        <w:tc>
          <w:tcPr>
            <w:tcW w:w="3969" w:type="dxa"/>
          </w:tcPr>
          <w:p w:rsidR="00E944BE" w:rsidRPr="005E0005" w:rsidRDefault="00E944BE" w:rsidP="00E944BE">
            <w:pPr>
              <w:tabs>
                <w:tab w:val="left" w:pos="1004"/>
              </w:tabs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571BC">
              <w:rPr>
                <w:rFonts w:ascii="Times New Roman" w:hAnsi="Times New Roman" w:cs="Times New Roman"/>
                <w:sz w:val="20"/>
                <w:szCs w:val="20"/>
              </w:rPr>
              <w:t>palivo pro všechny druhy dopravy 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7571BC">
              <w:rPr>
                <w:rFonts w:ascii="Times New Roman" w:hAnsi="Times New Roman" w:cs="Times New Roman"/>
                <w:sz w:val="20"/>
                <w:szCs w:val="20"/>
              </w:rPr>
              <w:t>stacionární motory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7571B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7571BC">
              <w:rPr>
                <w:rFonts w:ascii="Times New Roman" w:hAnsi="Times New Roman" w:cs="Times New Roman"/>
                <w:sz w:val="20"/>
                <w:szCs w:val="20"/>
              </w:rPr>
              <w:t>alivo pro pa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liv</w:t>
            </w:r>
            <w:r w:rsidRPr="007571BC">
              <w:rPr>
                <w:rFonts w:ascii="Times New Roman" w:hAnsi="Times New Roman" w:cs="Times New Roman"/>
                <w:sz w:val="20"/>
                <w:szCs w:val="20"/>
              </w:rPr>
              <w:t>ové články</w:t>
            </w:r>
          </w:p>
        </w:tc>
      </w:tr>
    </w:tbl>
    <w:p w:rsidR="00E944BE" w:rsidRDefault="00E944BE" w:rsidP="00E944BE">
      <w:pPr>
        <w:pStyle w:val="Odstavecseseznamem"/>
        <w:widowControl/>
        <w:tabs>
          <w:tab w:val="left" w:pos="284"/>
        </w:tabs>
        <w:spacing w:after="120"/>
        <w:ind w:left="0"/>
        <w:jc w:val="left"/>
        <w:rPr>
          <w:sz w:val="22"/>
        </w:rPr>
      </w:pPr>
    </w:p>
    <w:p w:rsidR="00E944BE" w:rsidRDefault="00E944BE" w:rsidP="00E944BE">
      <w:pPr>
        <w:pStyle w:val="Odstavecseseznamem"/>
        <w:widowControl/>
        <w:tabs>
          <w:tab w:val="left" w:pos="284"/>
        </w:tabs>
        <w:spacing w:after="60"/>
        <w:ind w:left="0"/>
        <w:jc w:val="left"/>
        <w:rPr>
          <w:sz w:val="22"/>
        </w:rPr>
      </w:pPr>
    </w:p>
    <w:p w:rsidR="00E944BE" w:rsidRDefault="00E944BE" w:rsidP="00E944BE">
      <w:pPr>
        <w:pStyle w:val="Odstavecseseznamem"/>
        <w:widowControl/>
        <w:tabs>
          <w:tab w:val="left" w:pos="284"/>
        </w:tabs>
        <w:spacing w:after="60"/>
        <w:ind w:left="0"/>
        <w:jc w:val="left"/>
        <w:rPr>
          <w:sz w:val="22"/>
        </w:rPr>
        <w:sectPr w:rsidR="00E944BE" w:rsidSect="002C6843">
          <w:endnotePr>
            <w:numFmt w:val="decimal"/>
          </w:endnotePr>
          <w:pgSz w:w="16838" w:h="11906" w:orient="landscape"/>
          <w:pgMar w:top="1418" w:right="1418" w:bottom="1418" w:left="1418" w:header="709" w:footer="709" w:gutter="0"/>
          <w:cols w:space="708"/>
          <w:docGrid w:linePitch="299"/>
        </w:sectPr>
      </w:pPr>
    </w:p>
    <w:p w:rsidR="00947B20" w:rsidRPr="00FB317F" w:rsidRDefault="00947B20" w:rsidP="00947B20">
      <w:pPr>
        <w:pStyle w:val="Standard"/>
        <w:widowControl/>
        <w:tabs>
          <w:tab w:val="left" w:pos="284"/>
        </w:tabs>
        <w:spacing w:after="60"/>
        <w:jc w:val="left"/>
        <w:rPr>
          <w:sz w:val="22"/>
        </w:rPr>
      </w:pPr>
    </w:p>
    <w:p w:rsidR="008A2B1C" w:rsidRPr="00E944BE" w:rsidRDefault="00A90965" w:rsidP="00E944BE">
      <w:pPr>
        <w:pStyle w:val="Nadpis2"/>
        <w:tabs>
          <w:tab w:val="clear" w:pos="94"/>
          <w:tab w:val="left" w:pos="454"/>
        </w:tabs>
        <w:overflowPunct w:val="0"/>
        <w:autoSpaceDE w:val="0"/>
      </w:pPr>
      <w:bookmarkStart w:id="54" w:name="_Toc38019662"/>
      <w:bookmarkStart w:id="55" w:name="_Toc38019725"/>
      <w:bookmarkStart w:id="56" w:name="_Toc38023737"/>
      <w:r w:rsidRPr="00E944BE">
        <w:t>Seznam zkratek</w:t>
      </w:r>
      <w:bookmarkEnd w:id="54"/>
      <w:bookmarkEnd w:id="55"/>
      <w:bookmarkEnd w:id="56"/>
    </w:p>
    <w:p w:rsidR="008A2B1C" w:rsidRPr="00384418" w:rsidRDefault="00A90965" w:rsidP="00B7667B">
      <w:pPr>
        <w:pStyle w:val="Standard"/>
        <w:tabs>
          <w:tab w:val="left" w:leader="dot" w:pos="1418"/>
        </w:tabs>
        <w:ind w:left="1418" w:hanging="1418"/>
        <w:rPr>
          <w:szCs w:val="24"/>
        </w:rPr>
      </w:pPr>
      <w:r w:rsidRPr="00384418">
        <w:rPr>
          <w:szCs w:val="24"/>
        </w:rPr>
        <w:t>ACEA</w:t>
      </w:r>
      <w:r w:rsidR="00384418">
        <w:rPr>
          <w:szCs w:val="24"/>
        </w:rPr>
        <w:tab/>
      </w:r>
      <w:proofErr w:type="spellStart"/>
      <w:r w:rsidR="009D52E5" w:rsidRPr="009D52E5">
        <w:rPr>
          <w:szCs w:val="24"/>
        </w:rPr>
        <w:t>Association</w:t>
      </w:r>
      <w:proofErr w:type="spellEnd"/>
      <w:r w:rsidR="009D52E5" w:rsidRPr="009D52E5">
        <w:rPr>
          <w:szCs w:val="24"/>
        </w:rPr>
        <w:t xml:space="preserve"> des </w:t>
      </w:r>
      <w:proofErr w:type="spellStart"/>
      <w:r w:rsidR="009D52E5" w:rsidRPr="009D52E5">
        <w:rPr>
          <w:szCs w:val="24"/>
        </w:rPr>
        <w:t>Constructeurs</w:t>
      </w:r>
      <w:proofErr w:type="spellEnd"/>
      <w:r w:rsidR="009D52E5" w:rsidRPr="009D52E5">
        <w:rPr>
          <w:szCs w:val="24"/>
        </w:rPr>
        <w:t xml:space="preserve"> </w:t>
      </w:r>
      <w:proofErr w:type="spellStart"/>
      <w:r w:rsidR="009D52E5" w:rsidRPr="009D52E5">
        <w:rPr>
          <w:szCs w:val="24"/>
        </w:rPr>
        <w:t>Européens</w:t>
      </w:r>
      <w:proofErr w:type="spellEnd"/>
      <w:r w:rsidR="009D52E5" w:rsidRPr="009D52E5">
        <w:rPr>
          <w:szCs w:val="24"/>
        </w:rPr>
        <w:t xml:space="preserve"> </w:t>
      </w:r>
      <w:proofErr w:type="spellStart"/>
      <w:r w:rsidR="009D52E5" w:rsidRPr="009D52E5">
        <w:rPr>
          <w:szCs w:val="24"/>
        </w:rPr>
        <w:t>ďAutomobile</w:t>
      </w:r>
      <w:proofErr w:type="spellEnd"/>
      <w:r w:rsidR="009D52E5">
        <w:rPr>
          <w:szCs w:val="24"/>
        </w:rPr>
        <w:t xml:space="preserve"> (Asociace evropských výrobců automobilů)</w:t>
      </w:r>
    </w:p>
    <w:p w:rsidR="008A2B1C" w:rsidRPr="00384418" w:rsidRDefault="00A90965" w:rsidP="00384418">
      <w:pPr>
        <w:pStyle w:val="Standard"/>
        <w:tabs>
          <w:tab w:val="left" w:leader="dot" w:pos="1418"/>
        </w:tabs>
        <w:rPr>
          <w:szCs w:val="24"/>
        </w:rPr>
      </w:pPr>
      <w:r w:rsidRPr="00384418">
        <w:rPr>
          <w:szCs w:val="24"/>
        </w:rPr>
        <w:t>B7</w:t>
      </w:r>
      <w:r w:rsidR="00384418">
        <w:rPr>
          <w:szCs w:val="24"/>
        </w:rPr>
        <w:tab/>
        <w:t>m</w:t>
      </w:r>
      <w:r w:rsidRPr="00384418">
        <w:rPr>
          <w:szCs w:val="24"/>
        </w:rPr>
        <w:t>otorová nafta ČSN EN 590 s obsahem biosložky do 7 % objem.</w:t>
      </w:r>
    </w:p>
    <w:p w:rsidR="008A2B1C" w:rsidRPr="00384418" w:rsidRDefault="00A90965" w:rsidP="00384418">
      <w:pPr>
        <w:pStyle w:val="Standard"/>
        <w:tabs>
          <w:tab w:val="left" w:leader="dot" w:pos="1418"/>
        </w:tabs>
        <w:rPr>
          <w:szCs w:val="24"/>
        </w:rPr>
      </w:pPr>
      <w:r w:rsidRPr="00384418">
        <w:rPr>
          <w:szCs w:val="24"/>
        </w:rPr>
        <w:t>B8/B9</w:t>
      </w:r>
      <w:r w:rsidR="00384418">
        <w:rPr>
          <w:szCs w:val="24"/>
        </w:rPr>
        <w:tab/>
      </w:r>
      <w:r w:rsidRPr="00384418">
        <w:rPr>
          <w:szCs w:val="24"/>
        </w:rPr>
        <w:t>motorová nafta ČSN EN 590 s obsahem biosložky do 8 až 9 % objem.</w:t>
      </w:r>
    </w:p>
    <w:p w:rsidR="008A2B1C" w:rsidRPr="00384418" w:rsidRDefault="00A90965" w:rsidP="00397A82">
      <w:pPr>
        <w:pStyle w:val="Standard"/>
        <w:tabs>
          <w:tab w:val="left" w:leader="dot" w:pos="1418"/>
        </w:tabs>
        <w:rPr>
          <w:szCs w:val="24"/>
        </w:rPr>
      </w:pPr>
      <w:r w:rsidRPr="00384418">
        <w:rPr>
          <w:szCs w:val="24"/>
        </w:rPr>
        <w:t>B10</w:t>
      </w:r>
      <w:r w:rsidR="00397A82">
        <w:rPr>
          <w:szCs w:val="24"/>
        </w:rPr>
        <w:tab/>
        <w:t>m</w:t>
      </w:r>
      <w:r w:rsidRPr="00384418">
        <w:rPr>
          <w:szCs w:val="24"/>
        </w:rPr>
        <w:t>otorová nafta ČSN EN 16734+A1 s obsahem biosložky do 10 % objem.</w:t>
      </w:r>
    </w:p>
    <w:p w:rsidR="008A2B1C" w:rsidRPr="00384418" w:rsidRDefault="00A90965" w:rsidP="00397A82">
      <w:pPr>
        <w:pStyle w:val="Standard"/>
        <w:tabs>
          <w:tab w:val="left" w:leader="dot" w:pos="1418"/>
        </w:tabs>
        <w:ind w:left="1418" w:hanging="1418"/>
        <w:jc w:val="left"/>
        <w:rPr>
          <w:szCs w:val="24"/>
        </w:rPr>
      </w:pPr>
      <w:r w:rsidRPr="00384418">
        <w:rPr>
          <w:szCs w:val="24"/>
        </w:rPr>
        <w:t>B20</w:t>
      </w:r>
      <w:r w:rsidR="00397A82">
        <w:rPr>
          <w:szCs w:val="24"/>
        </w:rPr>
        <w:tab/>
        <w:t>m</w:t>
      </w:r>
      <w:r w:rsidRPr="00384418">
        <w:rPr>
          <w:szCs w:val="24"/>
        </w:rPr>
        <w:t>otorová nafta ČSN EN 16709 (65 6510) s obsahem biosložky</w:t>
      </w:r>
      <w:r w:rsidR="00397A82">
        <w:rPr>
          <w:szCs w:val="24"/>
        </w:rPr>
        <w:t xml:space="preserve"> </w:t>
      </w:r>
      <w:r w:rsidRPr="00384418">
        <w:rPr>
          <w:szCs w:val="24"/>
        </w:rPr>
        <w:t xml:space="preserve">od 20 do </w:t>
      </w:r>
      <w:r w:rsidR="00397A82">
        <w:rPr>
          <w:szCs w:val="24"/>
        </w:rPr>
        <w:br/>
      </w:r>
      <w:r w:rsidRPr="00384418">
        <w:rPr>
          <w:szCs w:val="24"/>
        </w:rPr>
        <w:t>25</w:t>
      </w:r>
      <w:r w:rsidR="00397A82">
        <w:rPr>
          <w:szCs w:val="24"/>
        </w:rPr>
        <w:t> </w:t>
      </w:r>
      <w:r w:rsidRPr="00384418">
        <w:rPr>
          <w:szCs w:val="24"/>
        </w:rPr>
        <w:t>% objem.</w:t>
      </w:r>
    </w:p>
    <w:p w:rsidR="008A2B1C" w:rsidRPr="00384418" w:rsidRDefault="00A90965" w:rsidP="00397A82">
      <w:pPr>
        <w:pStyle w:val="Standard"/>
        <w:tabs>
          <w:tab w:val="left" w:leader="dot" w:pos="1418"/>
        </w:tabs>
        <w:ind w:left="1418" w:hanging="1418"/>
        <w:jc w:val="left"/>
        <w:rPr>
          <w:szCs w:val="24"/>
        </w:rPr>
      </w:pPr>
      <w:r w:rsidRPr="00384418">
        <w:rPr>
          <w:szCs w:val="24"/>
        </w:rPr>
        <w:t>B30</w:t>
      </w:r>
      <w:r w:rsidR="00397A82">
        <w:rPr>
          <w:szCs w:val="24"/>
        </w:rPr>
        <w:tab/>
      </w:r>
      <w:r w:rsidRPr="00384418">
        <w:rPr>
          <w:szCs w:val="24"/>
        </w:rPr>
        <w:t>motorová nafta ČSN 65 6508 s obsahem biosložky od 25 do 30 % objem.</w:t>
      </w:r>
    </w:p>
    <w:p w:rsidR="008A2B1C" w:rsidRPr="00384418" w:rsidRDefault="00A90965" w:rsidP="00340FA4">
      <w:pPr>
        <w:pStyle w:val="Standard"/>
        <w:tabs>
          <w:tab w:val="left" w:leader="dot" w:pos="1418"/>
        </w:tabs>
        <w:ind w:left="1418" w:hanging="1418"/>
        <w:jc w:val="left"/>
        <w:rPr>
          <w:szCs w:val="24"/>
        </w:rPr>
      </w:pPr>
      <w:r w:rsidRPr="00C37886">
        <w:rPr>
          <w:szCs w:val="24"/>
        </w:rPr>
        <w:t>B100</w:t>
      </w:r>
      <w:r w:rsidR="00340FA4" w:rsidRPr="00C37886">
        <w:rPr>
          <w:szCs w:val="24"/>
        </w:rPr>
        <w:tab/>
      </w:r>
      <w:r w:rsidRPr="00C37886">
        <w:rPr>
          <w:szCs w:val="24"/>
        </w:rPr>
        <w:t>topný olej/bionafta dle EN</w:t>
      </w:r>
      <w:r w:rsidR="00340FA4" w:rsidRPr="00C37886">
        <w:rPr>
          <w:szCs w:val="24"/>
        </w:rPr>
        <w:t xml:space="preserve"> </w:t>
      </w:r>
      <w:r w:rsidRPr="00C37886">
        <w:rPr>
          <w:szCs w:val="24"/>
        </w:rPr>
        <w:t>14214</w:t>
      </w:r>
    </w:p>
    <w:p w:rsidR="00340FA4" w:rsidRPr="00384418" w:rsidRDefault="00340FA4" w:rsidP="00340FA4">
      <w:pPr>
        <w:pStyle w:val="Standard"/>
        <w:tabs>
          <w:tab w:val="left" w:leader="dot" w:pos="1418"/>
        </w:tabs>
        <w:ind w:left="1418" w:hanging="1418"/>
        <w:jc w:val="left"/>
        <w:rPr>
          <w:szCs w:val="24"/>
        </w:rPr>
      </w:pPr>
      <w:r w:rsidRPr="00384418">
        <w:rPr>
          <w:szCs w:val="24"/>
        </w:rPr>
        <w:t>BČOV</w:t>
      </w:r>
      <w:r>
        <w:rPr>
          <w:szCs w:val="24"/>
        </w:rPr>
        <w:tab/>
      </w:r>
      <w:r w:rsidRPr="00384418">
        <w:rPr>
          <w:szCs w:val="24"/>
        </w:rPr>
        <w:t>biologická čistírna odpadních vod</w:t>
      </w:r>
    </w:p>
    <w:p w:rsidR="008A2B1C" w:rsidRDefault="00A90965" w:rsidP="00340FA4">
      <w:pPr>
        <w:pStyle w:val="Standard"/>
        <w:tabs>
          <w:tab w:val="left" w:leader="dot" w:pos="1418"/>
        </w:tabs>
        <w:ind w:left="1418" w:hanging="1418"/>
        <w:jc w:val="left"/>
        <w:rPr>
          <w:szCs w:val="24"/>
        </w:rPr>
      </w:pPr>
      <w:proofErr w:type="spellStart"/>
      <w:r w:rsidRPr="00384418">
        <w:rPr>
          <w:szCs w:val="24"/>
        </w:rPr>
        <w:t>bioCNG</w:t>
      </w:r>
      <w:proofErr w:type="spellEnd"/>
      <w:r w:rsidR="00340FA4">
        <w:rPr>
          <w:szCs w:val="24"/>
        </w:rPr>
        <w:tab/>
      </w:r>
      <w:r w:rsidRPr="00384418">
        <w:rPr>
          <w:szCs w:val="24"/>
        </w:rPr>
        <w:t>stlačený zemní plyn z</w:t>
      </w:r>
      <w:r w:rsidR="00EC6ADC">
        <w:rPr>
          <w:szCs w:val="24"/>
        </w:rPr>
        <w:t> </w:t>
      </w:r>
      <w:r w:rsidRPr="00384418">
        <w:rPr>
          <w:szCs w:val="24"/>
        </w:rPr>
        <w:t>biomasy</w:t>
      </w:r>
    </w:p>
    <w:p w:rsidR="00EC6ADC" w:rsidRPr="00384418" w:rsidRDefault="00EC6ADC" w:rsidP="00340FA4">
      <w:pPr>
        <w:pStyle w:val="Standard"/>
        <w:tabs>
          <w:tab w:val="left" w:leader="dot" w:pos="1418"/>
        </w:tabs>
        <w:ind w:left="1418" w:hanging="1418"/>
        <w:jc w:val="left"/>
        <w:rPr>
          <w:szCs w:val="24"/>
        </w:rPr>
      </w:pPr>
      <w:proofErr w:type="spellStart"/>
      <w:r>
        <w:rPr>
          <w:szCs w:val="24"/>
        </w:rPr>
        <w:t>bioETBE</w:t>
      </w:r>
      <w:proofErr w:type="spellEnd"/>
      <w:r>
        <w:rPr>
          <w:szCs w:val="24"/>
        </w:rPr>
        <w:tab/>
      </w:r>
      <w:proofErr w:type="spellStart"/>
      <w:r w:rsidR="007B062C">
        <w:rPr>
          <w:szCs w:val="24"/>
        </w:rPr>
        <w:t>bio</w:t>
      </w:r>
      <w:r w:rsidR="007B062C" w:rsidRPr="007B062C">
        <w:rPr>
          <w:szCs w:val="24"/>
        </w:rPr>
        <w:t>etyl</w:t>
      </w:r>
      <w:proofErr w:type="spellEnd"/>
      <w:r w:rsidR="007B062C" w:rsidRPr="007B062C">
        <w:rPr>
          <w:szCs w:val="24"/>
        </w:rPr>
        <w:t>-terc-</w:t>
      </w:r>
      <w:proofErr w:type="spellStart"/>
      <w:r w:rsidR="007B062C" w:rsidRPr="007B062C">
        <w:rPr>
          <w:szCs w:val="24"/>
        </w:rPr>
        <w:t>butyléter</w:t>
      </w:r>
      <w:proofErr w:type="spellEnd"/>
    </w:p>
    <w:p w:rsidR="008A2B1C" w:rsidRPr="00384418" w:rsidRDefault="00340FA4" w:rsidP="00340FA4">
      <w:pPr>
        <w:pStyle w:val="Standard"/>
        <w:tabs>
          <w:tab w:val="left" w:leader="dot" w:pos="1418"/>
        </w:tabs>
        <w:ind w:left="1418" w:hanging="1418"/>
        <w:jc w:val="left"/>
        <w:rPr>
          <w:szCs w:val="24"/>
        </w:rPr>
      </w:pPr>
      <w:proofErr w:type="spellStart"/>
      <w:r>
        <w:rPr>
          <w:szCs w:val="24"/>
        </w:rPr>
        <w:t>b</w:t>
      </w:r>
      <w:r w:rsidR="00A90965" w:rsidRPr="00384418">
        <w:rPr>
          <w:szCs w:val="24"/>
        </w:rPr>
        <w:t>io</w:t>
      </w:r>
      <w:r>
        <w:rPr>
          <w:szCs w:val="24"/>
        </w:rPr>
        <w:t>L</w:t>
      </w:r>
      <w:r w:rsidR="00A90965" w:rsidRPr="00384418">
        <w:rPr>
          <w:szCs w:val="24"/>
        </w:rPr>
        <w:t>PG</w:t>
      </w:r>
      <w:proofErr w:type="spellEnd"/>
      <w:r w:rsidR="000C05B5">
        <w:rPr>
          <w:szCs w:val="24"/>
        </w:rPr>
        <w:tab/>
      </w:r>
      <w:r w:rsidR="00A90965" w:rsidRPr="00384418">
        <w:rPr>
          <w:szCs w:val="24"/>
        </w:rPr>
        <w:t>zkapalněné ropné plyny na bázi biomasy</w:t>
      </w:r>
    </w:p>
    <w:p w:rsidR="008A2B1C" w:rsidRPr="00384418" w:rsidRDefault="009D52E5" w:rsidP="009D52E5">
      <w:pPr>
        <w:pStyle w:val="Standard"/>
        <w:tabs>
          <w:tab w:val="left" w:leader="dot" w:pos="1418"/>
        </w:tabs>
        <w:ind w:left="1418" w:hanging="1418"/>
        <w:jc w:val="left"/>
        <w:rPr>
          <w:szCs w:val="24"/>
        </w:rPr>
      </w:pPr>
      <w:r>
        <w:rPr>
          <w:szCs w:val="24"/>
        </w:rPr>
        <w:t>b</w:t>
      </w:r>
      <w:r w:rsidR="00A90965" w:rsidRPr="00384418">
        <w:rPr>
          <w:szCs w:val="24"/>
        </w:rPr>
        <w:t>iometan</w:t>
      </w:r>
      <w:r>
        <w:rPr>
          <w:szCs w:val="24"/>
        </w:rPr>
        <w:tab/>
      </w:r>
      <w:r w:rsidR="00A90965" w:rsidRPr="00384418">
        <w:rPr>
          <w:szCs w:val="24"/>
        </w:rPr>
        <w:t>vyčištěný bioplyn na kvalitu dle ČSN 65 6514</w:t>
      </w:r>
    </w:p>
    <w:p w:rsidR="008A2B1C" w:rsidRPr="00384418" w:rsidRDefault="00A90965" w:rsidP="009D52E5">
      <w:pPr>
        <w:pStyle w:val="Standard"/>
        <w:tabs>
          <w:tab w:val="left" w:leader="dot" w:pos="1418"/>
        </w:tabs>
        <w:ind w:left="1418" w:hanging="1418"/>
        <w:jc w:val="left"/>
        <w:rPr>
          <w:szCs w:val="24"/>
        </w:rPr>
      </w:pPr>
      <w:r w:rsidRPr="00384418">
        <w:rPr>
          <w:szCs w:val="24"/>
        </w:rPr>
        <w:t>BNG</w:t>
      </w:r>
      <w:r w:rsidR="009D52E5">
        <w:rPr>
          <w:szCs w:val="24"/>
        </w:rPr>
        <w:tab/>
      </w:r>
      <w:r w:rsidRPr="00384418">
        <w:rPr>
          <w:szCs w:val="24"/>
        </w:rPr>
        <w:t>zkapalněný zemní plyn vyrobený z biomasy nebo bioodpadu (biometan)</w:t>
      </w:r>
    </w:p>
    <w:p w:rsidR="008A2B1C" w:rsidRPr="00384418" w:rsidRDefault="00A90965" w:rsidP="009D52E5">
      <w:pPr>
        <w:pStyle w:val="Standard"/>
        <w:tabs>
          <w:tab w:val="left" w:leader="dot" w:pos="1418"/>
        </w:tabs>
        <w:ind w:left="1418" w:hanging="1418"/>
        <w:jc w:val="left"/>
        <w:rPr>
          <w:szCs w:val="24"/>
        </w:rPr>
      </w:pPr>
      <w:r w:rsidRPr="00384418">
        <w:rPr>
          <w:szCs w:val="24"/>
        </w:rPr>
        <w:t>CEN</w:t>
      </w:r>
      <w:r w:rsidR="009D52E5">
        <w:rPr>
          <w:szCs w:val="24"/>
        </w:rPr>
        <w:tab/>
      </w:r>
      <w:proofErr w:type="spellStart"/>
      <w:r w:rsidRPr="00384418">
        <w:rPr>
          <w:szCs w:val="24"/>
        </w:rPr>
        <w:t>European</w:t>
      </w:r>
      <w:proofErr w:type="spellEnd"/>
      <w:r w:rsidRPr="00384418">
        <w:rPr>
          <w:szCs w:val="24"/>
        </w:rPr>
        <w:t xml:space="preserve"> </w:t>
      </w:r>
      <w:proofErr w:type="spellStart"/>
      <w:r w:rsidRPr="00384418">
        <w:rPr>
          <w:szCs w:val="24"/>
        </w:rPr>
        <w:t>Committee</w:t>
      </w:r>
      <w:proofErr w:type="spellEnd"/>
      <w:r w:rsidRPr="00384418">
        <w:rPr>
          <w:szCs w:val="24"/>
        </w:rPr>
        <w:t xml:space="preserve"> </w:t>
      </w:r>
      <w:proofErr w:type="spellStart"/>
      <w:r w:rsidRPr="00384418">
        <w:rPr>
          <w:szCs w:val="24"/>
        </w:rPr>
        <w:t>for</w:t>
      </w:r>
      <w:proofErr w:type="spellEnd"/>
      <w:r w:rsidRPr="00384418">
        <w:rPr>
          <w:szCs w:val="24"/>
        </w:rPr>
        <w:t xml:space="preserve"> </w:t>
      </w:r>
      <w:proofErr w:type="spellStart"/>
      <w:r w:rsidRPr="00384418">
        <w:rPr>
          <w:szCs w:val="24"/>
        </w:rPr>
        <w:t>Standartization</w:t>
      </w:r>
      <w:proofErr w:type="spellEnd"/>
      <w:r w:rsidRPr="00384418">
        <w:rPr>
          <w:szCs w:val="24"/>
        </w:rPr>
        <w:t xml:space="preserve"> (Evropský výbor pro standardizaci)</w:t>
      </w:r>
    </w:p>
    <w:p w:rsidR="008A2B1C" w:rsidRPr="00384418" w:rsidRDefault="00A90965" w:rsidP="00B7667B">
      <w:pPr>
        <w:pStyle w:val="Standard"/>
        <w:tabs>
          <w:tab w:val="left" w:leader="dot" w:pos="1418"/>
        </w:tabs>
        <w:ind w:left="1418" w:hanging="1418"/>
        <w:jc w:val="left"/>
        <w:rPr>
          <w:szCs w:val="24"/>
        </w:rPr>
      </w:pPr>
      <w:r w:rsidRPr="00384418">
        <w:rPr>
          <w:szCs w:val="24"/>
        </w:rPr>
        <w:t>CNG</w:t>
      </w:r>
      <w:r w:rsidR="00B7667B">
        <w:rPr>
          <w:szCs w:val="24"/>
        </w:rPr>
        <w:tab/>
        <w:t>s</w:t>
      </w:r>
      <w:r w:rsidRPr="00384418">
        <w:rPr>
          <w:szCs w:val="24"/>
        </w:rPr>
        <w:t>tlačený zemní plyn</w:t>
      </w:r>
    </w:p>
    <w:p w:rsidR="008A2B1C" w:rsidRPr="00384418" w:rsidRDefault="00A90965" w:rsidP="00B7667B">
      <w:pPr>
        <w:pStyle w:val="Standard"/>
        <w:tabs>
          <w:tab w:val="left" w:leader="dot" w:pos="1418"/>
        </w:tabs>
        <w:ind w:left="1418" w:hanging="1418"/>
        <w:jc w:val="left"/>
        <w:rPr>
          <w:szCs w:val="24"/>
        </w:rPr>
      </w:pPr>
      <w:r w:rsidRPr="00384418">
        <w:rPr>
          <w:szCs w:val="24"/>
        </w:rPr>
        <w:t>CO</w:t>
      </w:r>
      <w:r w:rsidR="00B7667B">
        <w:rPr>
          <w:szCs w:val="24"/>
        </w:rPr>
        <w:tab/>
      </w:r>
      <w:r w:rsidRPr="00384418">
        <w:rPr>
          <w:szCs w:val="24"/>
        </w:rPr>
        <w:t>oxid uhelnatý</w:t>
      </w:r>
    </w:p>
    <w:p w:rsidR="008A2B1C" w:rsidRPr="00384418" w:rsidRDefault="00A90965" w:rsidP="00B7667B">
      <w:pPr>
        <w:pStyle w:val="Standard"/>
        <w:tabs>
          <w:tab w:val="left" w:leader="dot" w:pos="1418"/>
        </w:tabs>
        <w:ind w:left="1418" w:hanging="1418"/>
        <w:jc w:val="left"/>
        <w:rPr>
          <w:szCs w:val="24"/>
        </w:rPr>
      </w:pPr>
      <w:r w:rsidRPr="00384418">
        <w:rPr>
          <w:szCs w:val="24"/>
        </w:rPr>
        <w:t>CO2</w:t>
      </w:r>
      <w:r w:rsidR="00B7667B">
        <w:rPr>
          <w:szCs w:val="24"/>
        </w:rPr>
        <w:tab/>
        <w:t>o</w:t>
      </w:r>
      <w:r w:rsidRPr="00384418">
        <w:rPr>
          <w:szCs w:val="24"/>
        </w:rPr>
        <w:t>xid uhličitý</w:t>
      </w:r>
    </w:p>
    <w:p w:rsidR="008A2B1C" w:rsidRPr="00384418" w:rsidRDefault="00A90965" w:rsidP="00B7667B">
      <w:pPr>
        <w:pStyle w:val="Standard"/>
        <w:tabs>
          <w:tab w:val="left" w:leader="dot" w:pos="1418"/>
        </w:tabs>
        <w:ind w:left="1418" w:hanging="1418"/>
        <w:jc w:val="left"/>
        <w:rPr>
          <w:szCs w:val="24"/>
        </w:rPr>
      </w:pPr>
      <w:r w:rsidRPr="00384418">
        <w:rPr>
          <w:szCs w:val="24"/>
        </w:rPr>
        <w:t>ČAPPO</w:t>
      </w:r>
      <w:r w:rsidR="00B7667B">
        <w:rPr>
          <w:szCs w:val="24"/>
        </w:rPr>
        <w:tab/>
        <w:t>Č</w:t>
      </w:r>
      <w:r w:rsidRPr="00384418">
        <w:rPr>
          <w:szCs w:val="24"/>
        </w:rPr>
        <w:t>eská asociace petrolejářského průmyslu a obchodu</w:t>
      </w:r>
    </w:p>
    <w:p w:rsidR="008A2B1C" w:rsidRPr="00384418" w:rsidRDefault="00A90965" w:rsidP="00B7667B">
      <w:pPr>
        <w:pStyle w:val="Standard"/>
        <w:tabs>
          <w:tab w:val="left" w:leader="dot" w:pos="1418"/>
        </w:tabs>
        <w:ind w:left="1418" w:hanging="1418"/>
        <w:jc w:val="left"/>
        <w:rPr>
          <w:szCs w:val="24"/>
        </w:rPr>
      </w:pPr>
      <w:r w:rsidRPr="00384418">
        <w:rPr>
          <w:szCs w:val="24"/>
        </w:rPr>
        <w:t>ČSN</w:t>
      </w:r>
      <w:r w:rsidR="00B7667B">
        <w:rPr>
          <w:szCs w:val="24"/>
        </w:rPr>
        <w:tab/>
        <w:t>č</w:t>
      </w:r>
      <w:r w:rsidRPr="00384418">
        <w:rPr>
          <w:szCs w:val="24"/>
        </w:rPr>
        <w:t>eská technická norma</w:t>
      </w:r>
    </w:p>
    <w:p w:rsidR="008A2B1C" w:rsidRPr="00384418" w:rsidRDefault="00A90965" w:rsidP="00B7667B">
      <w:pPr>
        <w:pStyle w:val="Standard"/>
        <w:tabs>
          <w:tab w:val="left" w:leader="dot" w:pos="1418"/>
        </w:tabs>
        <w:ind w:left="1418" w:hanging="1418"/>
        <w:jc w:val="left"/>
        <w:rPr>
          <w:szCs w:val="24"/>
        </w:rPr>
      </w:pPr>
      <w:r w:rsidRPr="00384418">
        <w:rPr>
          <w:szCs w:val="24"/>
        </w:rPr>
        <w:t>E5</w:t>
      </w:r>
      <w:r w:rsidR="00B7667B">
        <w:rPr>
          <w:szCs w:val="24"/>
        </w:rPr>
        <w:tab/>
      </w:r>
      <w:r w:rsidRPr="00384418">
        <w:rPr>
          <w:szCs w:val="24"/>
        </w:rPr>
        <w:t>automobilový benzin ČSN EN 228 s obsahem biosložky do 5 % objem. a</w:t>
      </w:r>
      <w:r w:rsidR="00B7667B">
        <w:rPr>
          <w:szCs w:val="24"/>
        </w:rPr>
        <w:t> </w:t>
      </w:r>
      <w:r w:rsidRPr="00384418">
        <w:rPr>
          <w:szCs w:val="24"/>
        </w:rPr>
        <w:t>obsahem max.</w:t>
      </w:r>
      <w:r w:rsidR="00B7667B">
        <w:rPr>
          <w:szCs w:val="24"/>
        </w:rPr>
        <w:t xml:space="preserve"> </w:t>
      </w:r>
      <w:r w:rsidRPr="00384418">
        <w:rPr>
          <w:szCs w:val="24"/>
        </w:rPr>
        <w:t>2,7 % hmot. kyslíku</w:t>
      </w:r>
    </w:p>
    <w:p w:rsidR="008A2B1C" w:rsidRPr="00384418" w:rsidRDefault="00A90965" w:rsidP="00B7667B">
      <w:pPr>
        <w:pStyle w:val="Standard"/>
        <w:tabs>
          <w:tab w:val="left" w:leader="dot" w:pos="1418"/>
        </w:tabs>
        <w:ind w:left="1418" w:hanging="1418"/>
        <w:jc w:val="left"/>
        <w:rPr>
          <w:szCs w:val="24"/>
        </w:rPr>
      </w:pPr>
      <w:r w:rsidRPr="00384418">
        <w:rPr>
          <w:szCs w:val="24"/>
        </w:rPr>
        <w:t>E10</w:t>
      </w:r>
      <w:r w:rsidR="00B7667B">
        <w:rPr>
          <w:szCs w:val="24"/>
        </w:rPr>
        <w:tab/>
      </w:r>
      <w:r w:rsidRPr="00384418">
        <w:rPr>
          <w:szCs w:val="24"/>
        </w:rPr>
        <w:t>automobilový benzin ČSN EN 228 s obsahem biosložky do 10 % objem. a</w:t>
      </w:r>
      <w:r w:rsidR="00B7667B">
        <w:rPr>
          <w:szCs w:val="24"/>
        </w:rPr>
        <w:t> </w:t>
      </w:r>
      <w:r w:rsidRPr="00384418">
        <w:rPr>
          <w:szCs w:val="24"/>
        </w:rPr>
        <w:t>obsahem max.</w:t>
      </w:r>
      <w:r w:rsidR="00B7667B">
        <w:rPr>
          <w:szCs w:val="24"/>
        </w:rPr>
        <w:t xml:space="preserve"> </w:t>
      </w:r>
      <w:r w:rsidRPr="00384418">
        <w:rPr>
          <w:szCs w:val="24"/>
        </w:rPr>
        <w:t>3,7 % hmot. kyslíku</w:t>
      </w:r>
    </w:p>
    <w:p w:rsidR="008A2B1C" w:rsidRPr="00384418" w:rsidRDefault="00A90965" w:rsidP="00B7667B">
      <w:pPr>
        <w:pStyle w:val="Standard"/>
        <w:tabs>
          <w:tab w:val="left" w:leader="dot" w:pos="1418"/>
        </w:tabs>
        <w:ind w:left="1418" w:hanging="1418"/>
        <w:jc w:val="left"/>
        <w:rPr>
          <w:szCs w:val="24"/>
        </w:rPr>
      </w:pPr>
      <w:r w:rsidRPr="00384418">
        <w:rPr>
          <w:szCs w:val="24"/>
        </w:rPr>
        <w:t>ECR</w:t>
      </w:r>
      <w:r w:rsidR="00B7667B">
        <w:rPr>
          <w:szCs w:val="24"/>
        </w:rPr>
        <w:tab/>
      </w:r>
      <w:r w:rsidRPr="00384418">
        <w:rPr>
          <w:szCs w:val="24"/>
        </w:rPr>
        <w:t>Energetické centrum recyklace</w:t>
      </w:r>
    </w:p>
    <w:p w:rsidR="008A2B1C" w:rsidRPr="00384418" w:rsidRDefault="00A90965" w:rsidP="00B7667B">
      <w:pPr>
        <w:pStyle w:val="Standard"/>
        <w:tabs>
          <w:tab w:val="left" w:leader="dot" w:pos="1418"/>
        </w:tabs>
        <w:ind w:left="1418" w:hanging="1418"/>
        <w:jc w:val="left"/>
        <w:rPr>
          <w:szCs w:val="24"/>
        </w:rPr>
      </w:pPr>
      <w:r w:rsidRPr="00384418">
        <w:rPr>
          <w:szCs w:val="24"/>
        </w:rPr>
        <w:t>EHP</w:t>
      </w:r>
      <w:r w:rsidR="00B7667B">
        <w:rPr>
          <w:szCs w:val="24"/>
        </w:rPr>
        <w:tab/>
      </w:r>
      <w:r w:rsidRPr="00384418">
        <w:rPr>
          <w:szCs w:val="24"/>
        </w:rPr>
        <w:t>Evropský hospodářský prostor</w:t>
      </w:r>
    </w:p>
    <w:p w:rsidR="008A2B1C" w:rsidRPr="00384418" w:rsidRDefault="00A90965" w:rsidP="00B7667B">
      <w:pPr>
        <w:pStyle w:val="Standard"/>
        <w:tabs>
          <w:tab w:val="left" w:leader="dot" w:pos="1418"/>
        </w:tabs>
        <w:ind w:left="1418" w:hanging="1418"/>
        <w:jc w:val="left"/>
        <w:rPr>
          <w:szCs w:val="24"/>
        </w:rPr>
      </w:pPr>
      <w:r w:rsidRPr="00384418">
        <w:rPr>
          <w:szCs w:val="24"/>
        </w:rPr>
        <w:t>EK</w:t>
      </w:r>
      <w:r w:rsidR="00B7667B">
        <w:rPr>
          <w:szCs w:val="24"/>
        </w:rPr>
        <w:tab/>
      </w:r>
      <w:r w:rsidRPr="00384418">
        <w:rPr>
          <w:szCs w:val="24"/>
        </w:rPr>
        <w:t>Evropská komise</w:t>
      </w:r>
    </w:p>
    <w:p w:rsidR="008A2B1C" w:rsidRDefault="00A90965" w:rsidP="00B7667B">
      <w:pPr>
        <w:pStyle w:val="Standard"/>
        <w:tabs>
          <w:tab w:val="left" w:leader="dot" w:pos="1418"/>
        </w:tabs>
        <w:ind w:left="1418" w:hanging="1418"/>
        <w:jc w:val="left"/>
        <w:rPr>
          <w:szCs w:val="24"/>
        </w:rPr>
      </w:pPr>
      <w:r w:rsidRPr="00384418">
        <w:rPr>
          <w:szCs w:val="24"/>
        </w:rPr>
        <w:t>EN</w:t>
      </w:r>
      <w:r w:rsidR="00B7667B">
        <w:rPr>
          <w:szCs w:val="24"/>
        </w:rPr>
        <w:tab/>
        <w:t>e</w:t>
      </w:r>
      <w:r w:rsidRPr="00384418">
        <w:rPr>
          <w:szCs w:val="24"/>
        </w:rPr>
        <w:t>vropská norma</w:t>
      </w:r>
    </w:p>
    <w:p w:rsidR="007B062C" w:rsidRPr="00384418" w:rsidRDefault="00EC6ADC" w:rsidP="007B062C">
      <w:pPr>
        <w:pStyle w:val="Standard"/>
        <w:tabs>
          <w:tab w:val="left" w:leader="dot" w:pos="1418"/>
        </w:tabs>
        <w:ind w:left="1418" w:hanging="1418"/>
        <w:jc w:val="left"/>
        <w:rPr>
          <w:szCs w:val="24"/>
        </w:rPr>
      </w:pPr>
      <w:r>
        <w:rPr>
          <w:szCs w:val="24"/>
        </w:rPr>
        <w:t>ETBE</w:t>
      </w:r>
      <w:r>
        <w:rPr>
          <w:szCs w:val="24"/>
        </w:rPr>
        <w:tab/>
      </w:r>
      <w:r w:rsidR="007B062C" w:rsidRPr="007B062C">
        <w:rPr>
          <w:szCs w:val="24"/>
        </w:rPr>
        <w:t>etyl-terc-</w:t>
      </w:r>
      <w:proofErr w:type="spellStart"/>
      <w:r w:rsidR="007B062C" w:rsidRPr="007B062C">
        <w:rPr>
          <w:szCs w:val="24"/>
        </w:rPr>
        <w:t>butyléter</w:t>
      </w:r>
      <w:proofErr w:type="spellEnd"/>
    </w:p>
    <w:p w:rsidR="008A2B1C" w:rsidRPr="00384418" w:rsidRDefault="00A90965" w:rsidP="00B7667B">
      <w:pPr>
        <w:pStyle w:val="Standard"/>
        <w:tabs>
          <w:tab w:val="left" w:leader="dot" w:pos="1418"/>
        </w:tabs>
        <w:ind w:left="1418" w:hanging="1418"/>
        <w:jc w:val="left"/>
        <w:rPr>
          <w:szCs w:val="24"/>
        </w:rPr>
      </w:pPr>
      <w:r w:rsidRPr="00384418">
        <w:rPr>
          <w:szCs w:val="24"/>
        </w:rPr>
        <w:t>FAEE</w:t>
      </w:r>
      <w:r w:rsidR="00B7667B">
        <w:rPr>
          <w:szCs w:val="24"/>
        </w:rPr>
        <w:tab/>
      </w:r>
      <w:proofErr w:type="spellStart"/>
      <w:r w:rsidRPr="00384418">
        <w:rPr>
          <w:szCs w:val="24"/>
        </w:rPr>
        <w:t>e</w:t>
      </w:r>
      <w:r w:rsidR="00CA67E5">
        <w:rPr>
          <w:szCs w:val="24"/>
        </w:rPr>
        <w:t>tyl</w:t>
      </w:r>
      <w:r w:rsidRPr="00384418">
        <w:rPr>
          <w:szCs w:val="24"/>
        </w:rPr>
        <w:t>estery</w:t>
      </w:r>
      <w:proofErr w:type="spellEnd"/>
      <w:r w:rsidRPr="00384418">
        <w:rPr>
          <w:szCs w:val="24"/>
        </w:rPr>
        <w:t xml:space="preserve"> mastných kyselin</w:t>
      </w:r>
    </w:p>
    <w:p w:rsidR="008A2B1C" w:rsidRPr="00384418" w:rsidRDefault="00A90965" w:rsidP="00B7667B">
      <w:pPr>
        <w:pStyle w:val="Standard"/>
        <w:tabs>
          <w:tab w:val="left" w:leader="dot" w:pos="1418"/>
        </w:tabs>
        <w:ind w:left="1418" w:hanging="1418"/>
        <w:jc w:val="left"/>
        <w:rPr>
          <w:szCs w:val="24"/>
        </w:rPr>
      </w:pPr>
      <w:r w:rsidRPr="00384418">
        <w:rPr>
          <w:szCs w:val="24"/>
        </w:rPr>
        <w:t>FAME</w:t>
      </w:r>
      <w:r w:rsidR="00B7667B">
        <w:rPr>
          <w:szCs w:val="24"/>
        </w:rPr>
        <w:tab/>
      </w:r>
      <w:r w:rsidRPr="00384418">
        <w:rPr>
          <w:szCs w:val="24"/>
        </w:rPr>
        <w:t>me</w:t>
      </w:r>
      <w:r w:rsidR="00CA67E5">
        <w:rPr>
          <w:szCs w:val="24"/>
        </w:rPr>
        <w:t>tyl</w:t>
      </w:r>
      <w:r w:rsidRPr="00384418">
        <w:rPr>
          <w:szCs w:val="24"/>
        </w:rPr>
        <w:t>estery mastných kyselin</w:t>
      </w:r>
    </w:p>
    <w:p w:rsidR="008A2B1C" w:rsidRPr="00384418" w:rsidRDefault="00A90965" w:rsidP="00B7667B">
      <w:pPr>
        <w:pStyle w:val="Standard"/>
        <w:tabs>
          <w:tab w:val="left" w:leader="dot" w:pos="1418"/>
        </w:tabs>
        <w:ind w:left="1418" w:hanging="1418"/>
        <w:jc w:val="left"/>
        <w:rPr>
          <w:szCs w:val="24"/>
        </w:rPr>
      </w:pPr>
      <w:r w:rsidRPr="00384418">
        <w:rPr>
          <w:szCs w:val="24"/>
        </w:rPr>
        <w:t>FT</w:t>
      </w:r>
      <w:r w:rsidR="002D5D29">
        <w:rPr>
          <w:szCs w:val="24"/>
        </w:rPr>
        <w:tab/>
        <w:t>F</w:t>
      </w:r>
      <w:r w:rsidRPr="00384418">
        <w:rPr>
          <w:szCs w:val="24"/>
        </w:rPr>
        <w:t xml:space="preserve">ischer </w:t>
      </w:r>
      <w:proofErr w:type="spellStart"/>
      <w:r w:rsidRPr="00384418">
        <w:rPr>
          <w:szCs w:val="24"/>
        </w:rPr>
        <w:t>Tropschova</w:t>
      </w:r>
      <w:proofErr w:type="spellEnd"/>
      <w:r w:rsidRPr="00384418">
        <w:rPr>
          <w:szCs w:val="24"/>
        </w:rPr>
        <w:t xml:space="preserve"> syntéza</w:t>
      </w:r>
    </w:p>
    <w:p w:rsidR="008A2B1C" w:rsidRPr="00384418" w:rsidRDefault="00A90965" w:rsidP="00B7667B">
      <w:pPr>
        <w:pStyle w:val="Standard"/>
        <w:tabs>
          <w:tab w:val="left" w:leader="dot" w:pos="1418"/>
        </w:tabs>
        <w:ind w:left="1418" w:hanging="1418"/>
        <w:jc w:val="left"/>
        <w:rPr>
          <w:szCs w:val="24"/>
        </w:rPr>
      </w:pPr>
      <w:r w:rsidRPr="00384418">
        <w:rPr>
          <w:szCs w:val="24"/>
        </w:rPr>
        <w:t>GHG</w:t>
      </w:r>
      <w:r w:rsidR="002D5D29">
        <w:rPr>
          <w:szCs w:val="24"/>
        </w:rPr>
        <w:tab/>
      </w:r>
      <w:r w:rsidRPr="00384418">
        <w:rPr>
          <w:szCs w:val="24"/>
        </w:rPr>
        <w:t>skleníkové plyny</w:t>
      </w:r>
    </w:p>
    <w:p w:rsidR="008A2B1C" w:rsidRPr="00384418" w:rsidRDefault="00A90965" w:rsidP="00B7667B">
      <w:pPr>
        <w:pStyle w:val="Standard"/>
        <w:tabs>
          <w:tab w:val="left" w:leader="dot" w:pos="1418"/>
        </w:tabs>
        <w:ind w:left="1418" w:hanging="1418"/>
        <w:jc w:val="left"/>
        <w:rPr>
          <w:szCs w:val="24"/>
        </w:rPr>
      </w:pPr>
      <w:r w:rsidRPr="00384418">
        <w:rPr>
          <w:szCs w:val="24"/>
        </w:rPr>
        <w:t>HVO</w:t>
      </w:r>
      <w:r w:rsidR="002D5D29">
        <w:rPr>
          <w:szCs w:val="24"/>
        </w:rPr>
        <w:tab/>
      </w:r>
      <w:proofErr w:type="spellStart"/>
      <w:r w:rsidR="002D5D29">
        <w:rPr>
          <w:szCs w:val="24"/>
        </w:rPr>
        <w:t>H</w:t>
      </w:r>
      <w:r w:rsidR="002D5D29" w:rsidRPr="002D5D29">
        <w:rPr>
          <w:szCs w:val="24"/>
        </w:rPr>
        <w:t>ydrogenated</w:t>
      </w:r>
      <w:proofErr w:type="spellEnd"/>
      <w:r w:rsidR="002D5D29" w:rsidRPr="002D5D29">
        <w:rPr>
          <w:szCs w:val="24"/>
        </w:rPr>
        <w:t xml:space="preserve"> </w:t>
      </w:r>
      <w:proofErr w:type="spellStart"/>
      <w:r w:rsidR="002D5D29" w:rsidRPr="002D5D29">
        <w:rPr>
          <w:szCs w:val="24"/>
        </w:rPr>
        <w:t>Vegetable</w:t>
      </w:r>
      <w:proofErr w:type="spellEnd"/>
      <w:r w:rsidR="002D5D29" w:rsidRPr="002D5D29">
        <w:rPr>
          <w:szCs w:val="24"/>
        </w:rPr>
        <w:t xml:space="preserve"> </w:t>
      </w:r>
      <w:proofErr w:type="spellStart"/>
      <w:r w:rsidR="002D5D29" w:rsidRPr="002D5D29">
        <w:rPr>
          <w:szCs w:val="24"/>
        </w:rPr>
        <w:t>Oil</w:t>
      </w:r>
      <w:proofErr w:type="spellEnd"/>
      <w:r w:rsidR="002D5D29">
        <w:rPr>
          <w:szCs w:val="24"/>
        </w:rPr>
        <w:t xml:space="preserve"> (</w:t>
      </w:r>
      <w:r w:rsidRPr="00384418">
        <w:rPr>
          <w:szCs w:val="24"/>
        </w:rPr>
        <w:t>hydrogenovaný rostlinný olej</w:t>
      </w:r>
      <w:r w:rsidR="002D5D29">
        <w:rPr>
          <w:szCs w:val="24"/>
        </w:rPr>
        <w:t>)</w:t>
      </w:r>
    </w:p>
    <w:p w:rsidR="008A2B1C" w:rsidRPr="00384418" w:rsidRDefault="00A90965" w:rsidP="00B7667B">
      <w:pPr>
        <w:pStyle w:val="Standard"/>
        <w:tabs>
          <w:tab w:val="left" w:leader="dot" w:pos="1418"/>
        </w:tabs>
        <w:ind w:left="1418" w:hanging="1418"/>
        <w:jc w:val="left"/>
        <w:rPr>
          <w:szCs w:val="24"/>
        </w:rPr>
      </w:pPr>
      <w:r w:rsidRPr="00384418">
        <w:rPr>
          <w:szCs w:val="24"/>
        </w:rPr>
        <w:t>ISCC</w:t>
      </w:r>
      <w:r w:rsidR="002D5D29">
        <w:rPr>
          <w:szCs w:val="24"/>
        </w:rPr>
        <w:tab/>
      </w:r>
      <w:r w:rsidRPr="00384418">
        <w:rPr>
          <w:szCs w:val="24"/>
        </w:rPr>
        <w:t xml:space="preserve">International </w:t>
      </w:r>
      <w:proofErr w:type="spellStart"/>
      <w:r w:rsidRPr="00384418">
        <w:rPr>
          <w:szCs w:val="24"/>
        </w:rPr>
        <w:t>Sustainable</w:t>
      </w:r>
      <w:proofErr w:type="spellEnd"/>
      <w:r w:rsidRPr="00384418">
        <w:rPr>
          <w:szCs w:val="24"/>
        </w:rPr>
        <w:t xml:space="preserve"> and </w:t>
      </w:r>
      <w:proofErr w:type="spellStart"/>
      <w:r w:rsidRPr="00384418">
        <w:rPr>
          <w:szCs w:val="24"/>
        </w:rPr>
        <w:t>Carbon</w:t>
      </w:r>
      <w:proofErr w:type="spellEnd"/>
      <w:r w:rsidRPr="00384418">
        <w:rPr>
          <w:szCs w:val="24"/>
        </w:rPr>
        <w:t xml:space="preserve"> </w:t>
      </w:r>
      <w:proofErr w:type="spellStart"/>
      <w:r w:rsidRPr="00384418">
        <w:rPr>
          <w:szCs w:val="24"/>
        </w:rPr>
        <w:t>Certification</w:t>
      </w:r>
      <w:proofErr w:type="spellEnd"/>
      <w:r w:rsidRPr="00384418">
        <w:rPr>
          <w:szCs w:val="24"/>
        </w:rPr>
        <w:t xml:space="preserve"> (Mezinárodní certifikace udržitelného uhlíkového hospodářství)</w:t>
      </w:r>
    </w:p>
    <w:p w:rsidR="008A2B1C" w:rsidRPr="002D5D29" w:rsidRDefault="00A90965" w:rsidP="00B7667B">
      <w:pPr>
        <w:pStyle w:val="Standard"/>
        <w:tabs>
          <w:tab w:val="left" w:leader="dot" w:pos="1418"/>
        </w:tabs>
        <w:ind w:left="1418" w:hanging="1418"/>
        <w:jc w:val="left"/>
        <w:rPr>
          <w:szCs w:val="24"/>
        </w:rPr>
      </w:pPr>
      <w:r w:rsidRPr="00384418">
        <w:rPr>
          <w:szCs w:val="24"/>
        </w:rPr>
        <w:t>LHSV</w:t>
      </w:r>
      <w:r w:rsidR="002D5D29">
        <w:rPr>
          <w:szCs w:val="24"/>
        </w:rPr>
        <w:tab/>
      </w:r>
      <w:proofErr w:type="spellStart"/>
      <w:r w:rsidR="002D5D29" w:rsidRPr="002D5D29">
        <w:rPr>
          <w:szCs w:val="24"/>
        </w:rPr>
        <w:t>Liquid</w:t>
      </w:r>
      <w:proofErr w:type="spellEnd"/>
      <w:r w:rsidR="002D5D29" w:rsidRPr="002D5D29">
        <w:rPr>
          <w:szCs w:val="24"/>
        </w:rPr>
        <w:t xml:space="preserve"> </w:t>
      </w:r>
      <w:proofErr w:type="spellStart"/>
      <w:r w:rsidR="007E21AF">
        <w:rPr>
          <w:szCs w:val="24"/>
        </w:rPr>
        <w:t>H</w:t>
      </w:r>
      <w:r w:rsidR="002D5D29" w:rsidRPr="002D5D29">
        <w:rPr>
          <w:szCs w:val="24"/>
        </w:rPr>
        <w:t>ourly</w:t>
      </w:r>
      <w:proofErr w:type="spellEnd"/>
      <w:r w:rsidR="002D5D29" w:rsidRPr="002D5D29">
        <w:rPr>
          <w:szCs w:val="24"/>
        </w:rPr>
        <w:t xml:space="preserve"> </w:t>
      </w:r>
      <w:proofErr w:type="spellStart"/>
      <w:r w:rsidR="007E21AF">
        <w:rPr>
          <w:szCs w:val="24"/>
        </w:rPr>
        <w:t>S</w:t>
      </w:r>
      <w:r w:rsidR="002D5D29" w:rsidRPr="002D5D29">
        <w:rPr>
          <w:szCs w:val="24"/>
        </w:rPr>
        <w:t>pace</w:t>
      </w:r>
      <w:proofErr w:type="spellEnd"/>
      <w:r w:rsidR="002D5D29" w:rsidRPr="002D5D29">
        <w:rPr>
          <w:szCs w:val="24"/>
        </w:rPr>
        <w:t xml:space="preserve"> </w:t>
      </w:r>
      <w:proofErr w:type="spellStart"/>
      <w:r w:rsidR="007E21AF">
        <w:rPr>
          <w:szCs w:val="24"/>
        </w:rPr>
        <w:t>V</w:t>
      </w:r>
      <w:r w:rsidR="002D5D29" w:rsidRPr="002D5D29">
        <w:rPr>
          <w:szCs w:val="24"/>
        </w:rPr>
        <w:t>elocity</w:t>
      </w:r>
      <w:proofErr w:type="spellEnd"/>
      <w:r w:rsidR="002D5D29" w:rsidRPr="002D5D29">
        <w:rPr>
          <w:szCs w:val="24"/>
        </w:rPr>
        <w:t xml:space="preserve"> </w:t>
      </w:r>
      <w:r w:rsidR="002D5D29" w:rsidRPr="007B062C">
        <w:rPr>
          <w:szCs w:val="24"/>
        </w:rPr>
        <w:t>(</w:t>
      </w:r>
      <w:r w:rsidR="002D5D29" w:rsidRPr="007B062C">
        <w:rPr>
          <w:color w:val="000000"/>
          <w:szCs w:val="24"/>
          <w:shd w:val="clear" w:color="auto" w:fill="FFFFFF"/>
        </w:rPr>
        <w:t>objemová prostorová rychlost v průtočných reaktorech</w:t>
      </w:r>
      <w:r w:rsidR="002D5D29" w:rsidRPr="007B062C">
        <w:rPr>
          <w:szCs w:val="24"/>
        </w:rPr>
        <w:t xml:space="preserve">) </w:t>
      </w:r>
    </w:p>
    <w:p w:rsidR="008A2B1C" w:rsidRPr="00384418" w:rsidRDefault="00A90965" w:rsidP="00B7667B">
      <w:pPr>
        <w:pStyle w:val="Standard"/>
        <w:tabs>
          <w:tab w:val="left" w:leader="dot" w:pos="1418"/>
        </w:tabs>
        <w:ind w:left="1418" w:hanging="1418"/>
        <w:jc w:val="left"/>
        <w:rPr>
          <w:szCs w:val="24"/>
        </w:rPr>
      </w:pPr>
      <w:r w:rsidRPr="00384418">
        <w:rPr>
          <w:szCs w:val="24"/>
        </w:rPr>
        <w:t>LNG</w:t>
      </w:r>
      <w:r w:rsidR="002D5D29">
        <w:rPr>
          <w:szCs w:val="24"/>
        </w:rPr>
        <w:tab/>
        <w:t>z</w:t>
      </w:r>
      <w:r w:rsidRPr="00384418">
        <w:rPr>
          <w:szCs w:val="24"/>
        </w:rPr>
        <w:t>kapalněný zemní plyn</w:t>
      </w:r>
    </w:p>
    <w:p w:rsidR="008A2B1C" w:rsidRPr="00384418" w:rsidRDefault="00A90965" w:rsidP="00B7667B">
      <w:pPr>
        <w:pStyle w:val="Standard"/>
        <w:tabs>
          <w:tab w:val="left" w:leader="dot" w:pos="1418"/>
        </w:tabs>
        <w:ind w:left="1418" w:hanging="1418"/>
        <w:jc w:val="left"/>
        <w:rPr>
          <w:szCs w:val="24"/>
        </w:rPr>
      </w:pPr>
      <w:r w:rsidRPr="00384418">
        <w:rPr>
          <w:szCs w:val="24"/>
        </w:rPr>
        <w:t>LPG</w:t>
      </w:r>
      <w:r w:rsidR="002D5D29">
        <w:rPr>
          <w:szCs w:val="24"/>
        </w:rPr>
        <w:tab/>
      </w:r>
      <w:r w:rsidRPr="00384418">
        <w:rPr>
          <w:szCs w:val="24"/>
        </w:rPr>
        <w:t>zkapalněné ropné plyny</w:t>
      </w:r>
    </w:p>
    <w:p w:rsidR="008A2B1C" w:rsidRPr="00384418" w:rsidRDefault="00A90965" w:rsidP="00B7667B">
      <w:pPr>
        <w:pStyle w:val="Standard"/>
        <w:tabs>
          <w:tab w:val="left" w:leader="dot" w:pos="1418"/>
        </w:tabs>
        <w:ind w:left="1418" w:hanging="1418"/>
        <w:jc w:val="left"/>
        <w:rPr>
          <w:szCs w:val="24"/>
        </w:rPr>
      </w:pPr>
      <w:r w:rsidRPr="00384418">
        <w:rPr>
          <w:szCs w:val="24"/>
        </w:rPr>
        <w:t>MEŘO</w:t>
      </w:r>
      <w:r w:rsidR="00A536DD">
        <w:rPr>
          <w:szCs w:val="24"/>
        </w:rPr>
        <w:tab/>
      </w:r>
      <w:r w:rsidRPr="00384418">
        <w:rPr>
          <w:szCs w:val="24"/>
        </w:rPr>
        <w:t>me</w:t>
      </w:r>
      <w:r w:rsidR="00CA67E5">
        <w:rPr>
          <w:szCs w:val="24"/>
        </w:rPr>
        <w:t>tyl</w:t>
      </w:r>
      <w:r w:rsidRPr="00384418">
        <w:rPr>
          <w:szCs w:val="24"/>
        </w:rPr>
        <w:t>estery řepkového oleje</w:t>
      </w:r>
    </w:p>
    <w:p w:rsidR="008A2B1C" w:rsidRPr="00384418" w:rsidRDefault="00A90965" w:rsidP="00B7667B">
      <w:pPr>
        <w:pStyle w:val="Standard"/>
        <w:tabs>
          <w:tab w:val="left" w:leader="dot" w:pos="1418"/>
        </w:tabs>
        <w:ind w:left="1418" w:hanging="1418"/>
        <w:jc w:val="left"/>
        <w:rPr>
          <w:szCs w:val="24"/>
        </w:rPr>
      </w:pPr>
      <w:r w:rsidRPr="00384418">
        <w:rPr>
          <w:szCs w:val="24"/>
        </w:rPr>
        <w:t>MPO</w:t>
      </w:r>
      <w:r w:rsidR="00A536DD">
        <w:rPr>
          <w:szCs w:val="24"/>
        </w:rPr>
        <w:tab/>
      </w:r>
      <w:r w:rsidRPr="00384418">
        <w:rPr>
          <w:szCs w:val="24"/>
        </w:rPr>
        <w:t>Ministerstvo průmyslu a obchodu</w:t>
      </w:r>
    </w:p>
    <w:p w:rsidR="008A2B1C" w:rsidRPr="00384418" w:rsidRDefault="00A90965" w:rsidP="00B7667B">
      <w:pPr>
        <w:pStyle w:val="Standard"/>
        <w:tabs>
          <w:tab w:val="left" w:leader="dot" w:pos="1418"/>
        </w:tabs>
        <w:ind w:left="1418" w:hanging="1418"/>
        <w:jc w:val="left"/>
        <w:rPr>
          <w:szCs w:val="24"/>
        </w:rPr>
      </w:pPr>
      <w:r w:rsidRPr="00384418">
        <w:rPr>
          <w:szCs w:val="24"/>
        </w:rPr>
        <w:t>OZE</w:t>
      </w:r>
      <w:r w:rsidR="00A536DD">
        <w:rPr>
          <w:szCs w:val="24"/>
        </w:rPr>
        <w:tab/>
      </w:r>
      <w:r w:rsidRPr="00384418">
        <w:rPr>
          <w:szCs w:val="24"/>
        </w:rPr>
        <w:t>obnovitelné zdroje energie</w:t>
      </w:r>
    </w:p>
    <w:p w:rsidR="008A2B1C" w:rsidRPr="00384418" w:rsidRDefault="00A90965" w:rsidP="00B7667B">
      <w:pPr>
        <w:pStyle w:val="Standard"/>
        <w:tabs>
          <w:tab w:val="left" w:leader="dot" w:pos="1418"/>
        </w:tabs>
        <w:ind w:left="1418" w:hanging="1418"/>
        <w:jc w:val="left"/>
        <w:rPr>
          <w:szCs w:val="24"/>
        </w:rPr>
      </w:pPr>
      <w:r w:rsidRPr="00384418">
        <w:rPr>
          <w:szCs w:val="24"/>
        </w:rPr>
        <w:t>PHM</w:t>
      </w:r>
      <w:r w:rsidR="00A536DD">
        <w:rPr>
          <w:szCs w:val="24"/>
        </w:rPr>
        <w:tab/>
      </w:r>
      <w:r w:rsidRPr="00384418">
        <w:rPr>
          <w:szCs w:val="24"/>
        </w:rPr>
        <w:t>pohonné hmoty</w:t>
      </w:r>
    </w:p>
    <w:p w:rsidR="008A2B1C" w:rsidRPr="00384418" w:rsidRDefault="00A90965" w:rsidP="00B7667B">
      <w:pPr>
        <w:pStyle w:val="Standard"/>
        <w:tabs>
          <w:tab w:val="left" w:leader="dot" w:pos="1418"/>
        </w:tabs>
        <w:ind w:left="1418" w:hanging="1418"/>
        <w:jc w:val="left"/>
        <w:rPr>
          <w:szCs w:val="24"/>
        </w:rPr>
      </w:pPr>
      <w:r w:rsidRPr="00384418">
        <w:rPr>
          <w:szCs w:val="24"/>
        </w:rPr>
        <w:t>RED</w:t>
      </w:r>
      <w:r w:rsidR="00A536DD">
        <w:rPr>
          <w:szCs w:val="24"/>
        </w:rPr>
        <w:tab/>
      </w:r>
      <w:proofErr w:type="spellStart"/>
      <w:r w:rsidRPr="00384418">
        <w:rPr>
          <w:szCs w:val="24"/>
        </w:rPr>
        <w:t>Renewable</w:t>
      </w:r>
      <w:proofErr w:type="spellEnd"/>
      <w:r w:rsidRPr="00384418">
        <w:rPr>
          <w:szCs w:val="24"/>
        </w:rPr>
        <w:t xml:space="preserve"> </w:t>
      </w:r>
      <w:proofErr w:type="spellStart"/>
      <w:r w:rsidRPr="00384418">
        <w:rPr>
          <w:szCs w:val="24"/>
        </w:rPr>
        <w:t>Energy</w:t>
      </w:r>
      <w:proofErr w:type="spellEnd"/>
      <w:r w:rsidRPr="00384418">
        <w:rPr>
          <w:szCs w:val="24"/>
        </w:rPr>
        <w:t xml:space="preserve"> </w:t>
      </w:r>
      <w:proofErr w:type="spellStart"/>
      <w:r w:rsidRPr="00384418">
        <w:rPr>
          <w:szCs w:val="24"/>
        </w:rPr>
        <w:t>Directive</w:t>
      </w:r>
      <w:proofErr w:type="spellEnd"/>
      <w:r w:rsidR="00A536DD">
        <w:rPr>
          <w:szCs w:val="24"/>
        </w:rPr>
        <w:t xml:space="preserve"> (s</w:t>
      </w:r>
      <w:r w:rsidR="00A536DD" w:rsidRPr="00A536DD">
        <w:rPr>
          <w:szCs w:val="24"/>
        </w:rPr>
        <w:t>měrnice o obnovitelných zdrojích energie</w:t>
      </w:r>
      <w:r w:rsidR="00A536DD">
        <w:rPr>
          <w:szCs w:val="24"/>
        </w:rPr>
        <w:t>)</w:t>
      </w:r>
    </w:p>
    <w:p w:rsidR="008A2B1C" w:rsidRPr="00384418" w:rsidRDefault="00A90965" w:rsidP="00B7667B">
      <w:pPr>
        <w:pStyle w:val="Standard"/>
        <w:tabs>
          <w:tab w:val="left" w:leader="dot" w:pos="1418"/>
        </w:tabs>
        <w:ind w:left="1418" w:hanging="1418"/>
        <w:jc w:val="left"/>
        <w:rPr>
          <w:szCs w:val="24"/>
        </w:rPr>
      </w:pPr>
      <w:proofErr w:type="spellStart"/>
      <w:r w:rsidRPr="00384418">
        <w:rPr>
          <w:szCs w:val="24"/>
        </w:rPr>
        <w:t>synplyn</w:t>
      </w:r>
      <w:proofErr w:type="spellEnd"/>
      <w:r w:rsidR="00A536DD">
        <w:rPr>
          <w:szCs w:val="24"/>
        </w:rPr>
        <w:tab/>
      </w:r>
      <w:r w:rsidRPr="00384418">
        <w:rPr>
          <w:szCs w:val="24"/>
        </w:rPr>
        <w:t>směs CO, CO2 a vodíku</w:t>
      </w:r>
    </w:p>
    <w:p w:rsidR="00B13A3F" w:rsidRDefault="00B13A3F" w:rsidP="001109A5">
      <w:pPr>
        <w:pStyle w:val="Standard"/>
        <w:tabs>
          <w:tab w:val="left" w:leader="dot" w:pos="1418"/>
        </w:tabs>
        <w:ind w:left="1418" w:hanging="1418"/>
        <w:jc w:val="left"/>
        <w:rPr>
          <w:szCs w:val="24"/>
        </w:rPr>
      </w:pPr>
    </w:p>
    <w:p w:rsidR="00315F74" w:rsidRDefault="00A90965" w:rsidP="00B13A3F">
      <w:pPr>
        <w:pStyle w:val="Standard"/>
        <w:tabs>
          <w:tab w:val="left" w:leader="dot" w:pos="1418"/>
        </w:tabs>
        <w:ind w:left="1418" w:hanging="1418"/>
        <w:jc w:val="left"/>
        <w:rPr>
          <w:szCs w:val="24"/>
        </w:rPr>
      </w:pPr>
      <w:r w:rsidRPr="00384418">
        <w:rPr>
          <w:szCs w:val="24"/>
        </w:rPr>
        <w:t>UCO</w:t>
      </w:r>
      <w:r w:rsidR="001109A5">
        <w:rPr>
          <w:szCs w:val="24"/>
        </w:rPr>
        <w:tab/>
      </w:r>
      <w:proofErr w:type="spellStart"/>
      <w:r w:rsidR="007E21AF">
        <w:rPr>
          <w:szCs w:val="24"/>
        </w:rPr>
        <w:t>U</w:t>
      </w:r>
      <w:r w:rsidR="001109A5">
        <w:rPr>
          <w:szCs w:val="24"/>
        </w:rPr>
        <w:t>sed</w:t>
      </w:r>
      <w:proofErr w:type="spellEnd"/>
      <w:r w:rsidR="001109A5">
        <w:rPr>
          <w:szCs w:val="24"/>
        </w:rPr>
        <w:t xml:space="preserve"> </w:t>
      </w:r>
      <w:proofErr w:type="spellStart"/>
      <w:r w:rsidR="007E21AF">
        <w:rPr>
          <w:szCs w:val="24"/>
        </w:rPr>
        <w:t>Co</w:t>
      </w:r>
      <w:r w:rsidR="001109A5">
        <w:rPr>
          <w:szCs w:val="24"/>
        </w:rPr>
        <w:t>oking</w:t>
      </w:r>
      <w:proofErr w:type="spellEnd"/>
      <w:r w:rsidR="001109A5">
        <w:rPr>
          <w:szCs w:val="24"/>
        </w:rPr>
        <w:t xml:space="preserve"> </w:t>
      </w:r>
      <w:proofErr w:type="spellStart"/>
      <w:r w:rsidR="007E21AF">
        <w:rPr>
          <w:szCs w:val="24"/>
        </w:rPr>
        <w:t>O</w:t>
      </w:r>
      <w:r w:rsidR="001109A5">
        <w:rPr>
          <w:szCs w:val="24"/>
        </w:rPr>
        <w:t>ils</w:t>
      </w:r>
      <w:proofErr w:type="spellEnd"/>
      <w:r w:rsidR="001109A5">
        <w:rPr>
          <w:szCs w:val="24"/>
        </w:rPr>
        <w:t xml:space="preserve"> (</w:t>
      </w:r>
      <w:r w:rsidRPr="00384418">
        <w:rPr>
          <w:szCs w:val="24"/>
        </w:rPr>
        <w:t>upotřebené kuchyňské oleje</w:t>
      </w:r>
      <w:r w:rsidR="001109A5">
        <w:rPr>
          <w:szCs w:val="24"/>
        </w:rPr>
        <w:t>)</w:t>
      </w:r>
    </w:p>
    <w:p w:rsidR="008A2B1C" w:rsidRPr="00384418" w:rsidRDefault="00A90965" w:rsidP="00315F74">
      <w:pPr>
        <w:pStyle w:val="Standard"/>
        <w:tabs>
          <w:tab w:val="left" w:leader="dot" w:pos="1418"/>
        </w:tabs>
        <w:jc w:val="left"/>
        <w:rPr>
          <w:szCs w:val="24"/>
        </w:rPr>
      </w:pPr>
      <w:proofErr w:type="spellStart"/>
      <w:r w:rsidRPr="00384418">
        <w:rPr>
          <w:szCs w:val="24"/>
        </w:rPr>
        <w:t>VaV</w:t>
      </w:r>
      <w:proofErr w:type="spellEnd"/>
      <w:r w:rsidR="001109A5">
        <w:rPr>
          <w:szCs w:val="24"/>
        </w:rPr>
        <w:tab/>
      </w:r>
      <w:r w:rsidRPr="00384418">
        <w:rPr>
          <w:szCs w:val="24"/>
        </w:rPr>
        <w:t>výzkum a vývoj</w:t>
      </w:r>
    </w:p>
    <w:p w:rsidR="007E21AF" w:rsidRDefault="00A90965" w:rsidP="00B13A3F">
      <w:pPr>
        <w:pStyle w:val="Standard"/>
        <w:tabs>
          <w:tab w:val="left" w:leader="dot" w:pos="1418"/>
        </w:tabs>
        <w:ind w:left="1418" w:hanging="1418"/>
        <w:jc w:val="left"/>
        <w:rPr>
          <w:szCs w:val="24"/>
        </w:rPr>
      </w:pPr>
      <w:r w:rsidRPr="007E21AF">
        <w:rPr>
          <w:szCs w:val="24"/>
        </w:rPr>
        <w:t>VŠCHT</w:t>
      </w:r>
      <w:r w:rsidR="007E21AF" w:rsidRPr="007E21AF">
        <w:rPr>
          <w:szCs w:val="24"/>
        </w:rPr>
        <w:tab/>
        <w:t>V</w:t>
      </w:r>
      <w:r w:rsidRPr="007E21AF">
        <w:rPr>
          <w:szCs w:val="24"/>
        </w:rPr>
        <w:t>ysoká škola chemicko</w:t>
      </w:r>
      <w:r w:rsidR="007E21AF" w:rsidRPr="007E21AF">
        <w:rPr>
          <w:szCs w:val="24"/>
        </w:rPr>
        <w:t>-</w:t>
      </w:r>
      <w:r w:rsidRPr="007E21AF">
        <w:rPr>
          <w:szCs w:val="24"/>
        </w:rPr>
        <w:t>technologická</w:t>
      </w:r>
    </w:p>
    <w:p w:rsidR="008A2B1C" w:rsidRPr="007E21AF" w:rsidRDefault="00A90965" w:rsidP="007E21AF">
      <w:pPr>
        <w:pStyle w:val="Nadpis2"/>
        <w:tabs>
          <w:tab w:val="clear" w:pos="94"/>
          <w:tab w:val="left" w:pos="454"/>
        </w:tabs>
        <w:overflowPunct w:val="0"/>
        <w:autoSpaceDE w:val="0"/>
      </w:pPr>
      <w:bookmarkStart w:id="57" w:name="_Toc38019663"/>
      <w:bookmarkStart w:id="58" w:name="_Toc38019726"/>
      <w:bookmarkStart w:id="59" w:name="_Toc38023738"/>
      <w:r w:rsidRPr="007E21AF">
        <w:t>Seznam použité literatury</w:t>
      </w:r>
      <w:bookmarkEnd w:id="57"/>
      <w:bookmarkEnd w:id="58"/>
      <w:bookmarkEnd w:id="59"/>
    </w:p>
    <w:p w:rsidR="008A2B1C" w:rsidRPr="00AC1A33" w:rsidRDefault="00A90965" w:rsidP="00FD4C88">
      <w:pPr>
        <w:pStyle w:val="Standard"/>
        <w:numPr>
          <w:ilvl w:val="0"/>
          <w:numId w:val="35"/>
        </w:numPr>
        <w:ind w:left="431" w:hanging="335"/>
        <w:rPr>
          <w:szCs w:val="24"/>
        </w:rPr>
      </w:pPr>
      <w:r w:rsidRPr="00AC1A33">
        <w:rPr>
          <w:szCs w:val="24"/>
        </w:rPr>
        <w:t>Směrnice Evropského parlamentu a Rady 2014/94/EU ze dne 22. 10. 2014 o zavádění</w:t>
      </w:r>
      <w:r w:rsidR="00AC1A33" w:rsidRPr="00AC1A33">
        <w:rPr>
          <w:szCs w:val="24"/>
        </w:rPr>
        <w:t xml:space="preserve"> </w:t>
      </w:r>
      <w:r w:rsidRPr="00AC1A33">
        <w:rPr>
          <w:szCs w:val="24"/>
        </w:rPr>
        <w:t>infrastruktury pro alternativní paliva</w:t>
      </w:r>
    </w:p>
    <w:p w:rsidR="008A2B1C" w:rsidRPr="00AC1A33" w:rsidRDefault="00A90965" w:rsidP="00FD4C88">
      <w:pPr>
        <w:pStyle w:val="Standard"/>
        <w:numPr>
          <w:ilvl w:val="0"/>
          <w:numId w:val="35"/>
        </w:numPr>
        <w:ind w:left="431" w:hanging="335"/>
        <w:rPr>
          <w:szCs w:val="24"/>
        </w:rPr>
      </w:pPr>
      <w:r w:rsidRPr="00AC1A33">
        <w:rPr>
          <w:szCs w:val="24"/>
        </w:rPr>
        <w:t>Směrnice Evropského parlamentu a Rady (EU)2018/2001(EU) ze dne 11.</w:t>
      </w:r>
      <w:r w:rsidR="00CF546C">
        <w:rPr>
          <w:szCs w:val="24"/>
        </w:rPr>
        <w:t> </w:t>
      </w:r>
      <w:r w:rsidRPr="00AC1A33">
        <w:rPr>
          <w:szCs w:val="24"/>
        </w:rPr>
        <w:t>12.</w:t>
      </w:r>
      <w:r w:rsidR="00CF546C">
        <w:rPr>
          <w:szCs w:val="24"/>
        </w:rPr>
        <w:t> </w:t>
      </w:r>
      <w:r w:rsidRPr="00AC1A33">
        <w:rPr>
          <w:szCs w:val="24"/>
        </w:rPr>
        <w:t>2018</w:t>
      </w:r>
      <w:r w:rsidR="00CF546C">
        <w:rPr>
          <w:szCs w:val="24"/>
        </w:rPr>
        <w:t xml:space="preserve">, </w:t>
      </w:r>
      <w:r w:rsidRPr="00AC1A33">
        <w:rPr>
          <w:szCs w:val="24"/>
        </w:rPr>
        <w:t>o</w:t>
      </w:r>
      <w:r w:rsidR="00CF546C">
        <w:rPr>
          <w:szCs w:val="24"/>
        </w:rPr>
        <w:t> </w:t>
      </w:r>
      <w:r w:rsidRPr="00AC1A33">
        <w:rPr>
          <w:szCs w:val="24"/>
        </w:rPr>
        <w:t>podpoře využívání energie z obnovitelných zdrojů</w:t>
      </w:r>
    </w:p>
    <w:p w:rsidR="008A2B1C" w:rsidRPr="00AC1A33" w:rsidRDefault="00A90965" w:rsidP="00FD4C88">
      <w:pPr>
        <w:pStyle w:val="Standard"/>
        <w:numPr>
          <w:ilvl w:val="0"/>
          <w:numId w:val="35"/>
        </w:numPr>
        <w:ind w:left="431" w:hanging="335"/>
        <w:rPr>
          <w:szCs w:val="24"/>
        </w:rPr>
      </w:pPr>
      <w:r w:rsidRPr="00AC1A33">
        <w:rPr>
          <w:szCs w:val="24"/>
        </w:rPr>
        <w:t>Zákon č. 172/2018</w:t>
      </w:r>
      <w:r w:rsidR="00AC1A33">
        <w:rPr>
          <w:szCs w:val="24"/>
        </w:rPr>
        <w:t xml:space="preserve"> </w:t>
      </w:r>
      <w:r w:rsidRPr="00AC1A33">
        <w:rPr>
          <w:szCs w:val="24"/>
        </w:rPr>
        <w:t xml:space="preserve">Sb., kterým se mění </w:t>
      </w:r>
      <w:r w:rsidRPr="00CF546C">
        <w:rPr>
          <w:szCs w:val="24"/>
        </w:rPr>
        <w:t>3. zákon</w:t>
      </w:r>
      <w:r w:rsidRPr="00AC1A33">
        <w:rPr>
          <w:szCs w:val="24"/>
        </w:rPr>
        <w:t xml:space="preserve"> č.</w:t>
      </w:r>
      <w:r w:rsidR="00CF546C">
        <w:rPr>
          <w:szCs w:val="24"/>
        </w:rPr>
        <w:t xml:space="preserve"> </w:t>
      </w:r>
      <w:r w:rsidRPr="00AC1A33">
        <w:rPr>
          <w:szCs w:val="24"/>
        </w:rPr>
        <w:t>201/2012</w:t>
      </w:r>
      <w:r w:rsidR="00CF546C">
        <w:rPr>
          <w:szCs w:val="24"/>
        </w:rPr>
        <w:t> </w:t>
      </w:r>
      <w:r w:rsidRPr="00AC1A33">
        <w:rPr>
          <w:szCs w:val="24"/>
        </w:rPr>
        <w:t>Sb., o ochraně ovzduší, ve znění pozdějších předpisů</w:t>
      </w:r>
    </w:p>
    <w:p w:rsidR="00CF546C" w:rsidRPr="00CF546C" w:rsidRDefault="00CF546C" w:rsidP="00FD4C88">
      <w:pPr>
        <w:pStyle w:val="Standard"/>
        <w:numPr>
          <w:ilvl w:val="0"/>
          <w:numId w:val="35"/>
        </w:numPr>
        <w:ind w:left="431" w:hanging="335"/>
        <w:rPr>
          <w:szCs w:val="24"/>
        </w:rPr>
      </w:pPr>
      <w:r w:rsidRPr="00CF546C">
        <w:rPr>
          <w:szCs w:val="24"/>
        </w:rPr>
        <w:t xml:space="preserve">Nařízení vlády č. 189/2018 Sb., o kritériích udržitelnosti biopaliv a snižování emisí skleníkových plynů z pohonných hmot </w:t>
      </w:r>
    </w:p>
    <w:p w:rsidR="008A2B1C" w:rsidRPr="00AC1A33" w:rsidRDefault="00A90965" w:rsidP="00FD4C88">
      <w:pPr>
        <w:pStyle w:val="Standard"/>
        <w:numPr>
          <w:ilvl w:val="0"/>
          <w:numId w:val="35"/>
        </w:numPr>
        <w:ind w:left="431" w:hanging="335"/>
        <w:rPr>
          <w:szCs w:val="24"/>
        </w:rPr>
      </w:pPr>
      <w:r w:rsidRPr="00AC1A33">
        <w:rPr>
          <w:szCs w:val="24"/>
        </w:rPr>
        <w:t>Zákon č.</w:t>
      </w:r>
      <w:r w:rsidR="00CF546C">
        <w:rPr>
          <w:szCs w:val="24"/>
        </w:rPr>
        <w:t> </w:t>
      </w:r>
      <w:r w:rsidRPr="00AC1A33">
        <w:rPr>
          <w:szCs w:val="24"/>
        </w:rPr>
        <w:t>48/2020</w:t>
      </w:r>
      <w:r w:rsidR="00CF546C">
        <w:rPr>
          <w:szCs w:val="24"/>
        </w:rPr>
        <w:t> </w:t>
      </w:r>
      <w:r w:rsidRPr="00AC1A33">
        <w:rPr>
          <w:szCs w:val="24"/>
        </w:rPr>
        <w:t>Sb., kterým se mění zákon č.</w:t>
      </w:r>
      <w:r w:rsidR="00CF546C">
        <w:rPr>
          <w:szCs w:val="24"/>
        </w:rPr>
        <w:t> </w:t>
      </w:r>
      <w:r w:rsidRPr="00AC1A33">
        <w:rPr>
          <w:szCs w:val="24"/>
        </w:rPr>
        <w:t>311/2006</w:t>
      </w:r>
      <w:r w:rsidR="00CF546C">
        <w:rPr>
          <w:szCs w:val="24"/>
        </w:rPr>
        <w:t> </w:t>
      </w:r>
      <w:r w:rsidRPr="00AC1A33">
        <w:rPr>
          <w:szCs w:val="24"/>
        </w:rPr>
        <w:t>Sb. o pohonných hmotách a</w:t>
      </w:r>
      <w:r w:rsidR="00CF546C">
        <w:rPr>
          <w:szCs w:val="24"/>
        </w:rPr>
        <w:t> </w:t>
      </w:r>
      <w:r w:rsidRPr="00AC1A33">
        <w:rPr>
          <w:szCs w:val="24"/>
        </w:rPr>
        <w:t>čerpacích stanicích</w:t>
      </w:r>
    </w:p>
    <w:p w:rsidR="008A2B1C" w:rsidRPr="00AC1A33" w:rsidRDefault="00A90965" w:rsidP="00FD4C88">
      <w:pPr>
        <w:pStyle w:val="Standard"/>
        <w:numPr>
          <w:ilvl w:val="0"/>
          <w:numId w:val="35"/>
        </w:numPr>
        <w:ind w:left="431" w:hanging="335"/>
        <w:rPr>
          <w:szCs w:val="24"/>
        </w:rPr>
      </w:pPr>
      <w:r w:rsidRPr="00AC1A33">
        <w:rPr>
          <w:szCs w:val="24"/>
        </w:rPr>
        <w:t xml:space="preserve">Návrh </w:t>
      </w:r>
      <w:r w:rsidR="00CF546C">
        <w:rPr>
          <w:szCs w:val="24"/>
        </w:rPr>
        <w:t>n</w:t>
      </w:r>
      <w:r w:rsidRPr="00AC1A33">
        <w:rPr>
          <w:szCs w:val="24"/>
        </w:rPr>
        <w:t>ovely zákona č. 165/2012</w:t>
      </w:r>
      <w:r w:rsidR="00CF546C">
        <w:rPr>
          <w:szCs w:val="24"/>
        </w:rPr>
        <w:t> </w:t>
      </w:r>
      <w:r w:rsidRPr="00AC1A33">
        <w:rPr>
          <w:szCs w:val="24"/>
        </w:rPr>
        <w:t>Sb., o podporovaných zdrojích energie</w:t>
      </w:r>
    </w:p>
    <w:p w:rsidR="008A2B1C" w:rsidRPr="00AC1A33" w:rsidRDefault="00A90965" w:rsidP="00FD4C88">
      <w:pPr>
        <w:pStyle w:val="Standard"/>
        <w:numPr>
          <w:ilvl w:val="0"/>
          <w:numId w:val="35"/>
        </w:numPr>
        <w:ind w:left="431" w:hanging="335"/>
        <w:rPr>
          <w:szCs w:val="24"/>
        </w:rPr>
      </w:pPr>
      <w:r w:rsidRPr="00AC1A33">
        <w:rPr>
          <w:szCs w:val="24"/>
        </w:rPr>
        <w:t>Vnit</w:t>
      </w:r>
      <w:r w:rsidR="00CF546C">
        <w:rPr>
          <w:szCs w:val="24"/>
        </w:rPr>
        <w:t>r</w:t>
      </w:r>
      <w:r w:rsidRPr="00AC1A33">
        <w:rPr>
          <w:szCs w:val="24"/>
        </w:rPr>
        <w:t xml:space="preserve">ostátní plán </w:t>
      </w:r>
      <w:r w:rsidR="00CF546C">
        <w:rPr>
          <w:szCs w:val="24"/>
        </w:rPr>
        <w:t>České republiky</w:t>
      </w:r>
      <w:r w:rsidRPr="00AC1A33">
        <w:rPr>
          <w:szCs w:val="24"/>
        </w:rPr>
        <w:t xml:space="preserve"> v oblasti energetiky a klimatu, MPO</w:t>
      </w:r>
      <w:r w:rsidR="00CF546C">
        <w:rPr>
          <w:szCs w:val="24"/>
        </w:rPr>
        <w:t>,</w:t>
      </w:r>
      <w:r w:rsidRPr="00AC1A33">
        <w:rPr>
          <w:szCs w:val="24"/>
        </w:rPr>
        <w:t xml:space="preserve"> </w:t>
      </w:r>
      <w:r w:rsidR="00CF546C">
        <w:rPr>
          <w:szCs w:val="24"/>
        </w:rPr>
        <w:t>l</w:t>
      </w:r>
      <w:r w:rsidRPr="00AC1A33">
        <w:rPr>
          <w:szCs w:val="24"/>
        </w:rPr>
        <w:t>eden 2020</w:t>
      </w:r>
    </w:p>
    <w:p w:rsidR="008A2B1C" w:rsidRPr="00AC1A33" w:rsidRDefault="00A90965" w:rsidP="00FD4C88">
      <w:pPr>
        <w:pStyle w:val="Standard"/>
        <w:numPr>
          <w:ilvl w:val="0"/>
          <w:numId w:val="35"/>
        </w:numPr>
        <w:ind w:left="431" w:hanging="335"/>
        <w:rPr>
          <w:szCs w:val="24"/>
        </w:rPr>
      </w:pPr>
      <w:r w:rsidRPr="00AC1A33">
        <w:rPr>
          <w:szCs w:val="24"/>
        </w:rPr>
        <w:t>Národní akční plán čist</w:t>
      </w:r>
      <w:r w:rsidR="00CF546C">
        <w:rPr>
          <w:szCs w:val="24"/>
        </w:rPr>
        <w:t>é</w:t>
      </w:r>
      <w:r w:rsidRPr="00AC1A33">
        <w:rPr>
          <w:szCs w:val="24"/>
        </w:rPr>
        <w:t xml:space="preserve"> mobilit</w:t>
      </w:r>
      <w:r w:rsidR="00CF546C">
        <w:rPr>
          <w:szCs w:val="24"/>
        </w:rPr>
        <w:t>y</w:t>
      </w:r>
      <w:r w:rsidRPr="00AC1A33">
        <w:rPr>
          <w:szCs w:val="24"/>
        </w:rPr>
        <w:t xml:space="preserve">, </w:t>
      </w:r>
      <w:r w:rsidR="00CF546C">
        <w:rPr>
          <w:szCs w:val="24"/>
        </w:rPr>
        <w:t xml:space="preserve">MPO, </w:t>
      </w:r>
      <w:r w:rsidRPr="00AC1A33">
        <w:rPr>
          <w:szCs w:val="24"/>
        </w:rPr>
        <w:t>2019</w:t>
      </w:r>
    </w:p>
    <w:p w:rsidR="008A2B1C" w:rsidRPr="00AC1A33" w:rsidRDefault="00A90965" w:rsidP="00FD4C88">
      <w:pPr>
        <w:pStyle w:val="Standard"/>
        <w:numPr>
          <w:ilvl w:val="0"/>
          <w:numId w:val="35"/>
        </w:numPr>
        <w:ind w:left="431" w:hanging="335"/>
        <w:rPr>
          <w:szCs w:val="24"/>
        </w:rPr>
      </w:pPr>
      <w:r w:rsidRPr="00AC1A33">
        <w:rPr>
          <w:szCs w:val="24"/>
        </w:rPr>
        <w:t>Sborník ČAPPO 25 let, 2017</w:t>
      </w:r>
    </w:p>
    <w:p w:rsidR="008A2B1C" w:rsidRPr="00CF546C" w:rsidRDefault="00A90965" w:rsidP="00FD4C88">
      <w:pPr>
        <w:pStyle w:val="Odstavecseseznamem"/>
        <w:widowControl/>
        <w:numPr>
          <w:ilvl w:val="0"/>
          <w:numId w:val="35"/>
        </w:numPr>
        <w:overflowPunct w:val="0"/>
        <w:autoSpaceDE w:val="0"/>
        <w:ind w:left="426" w:hanging="426"/>
        <w:rPr>
          <w:szCs w:val="24"/>
        </w:rPr>
      </w:pPr>
      <w:r w:rsidRPr="00CF546C">
        <w:rPr>
          <w:szCs w:val="24"/>
        </w:rPr>
        <w:t>Statistika trhu petrolejářských výrobků ČAPPO, 2017, 2018 a 2019</w:t>
      </w:r>
    </w:p>
    <w:p w:rsidR="008A2B1C" w:rsidRPr="00AC1A33" w:rsidRDefault="00A90965" w:rsidP="00FD4C88">
      <w:pPr>
        <w:pStyle w:val="Odstavecseseznamem"/>
        <w:widowControl/>
        <w:numPr>
          <w:ilvl w:val="0"/>
          <w:numId w:val="35"/>
        </w:numPr>
        <w:overflowPunct w:val="0"/>
        <w:autoSpaceDE w:val="0"/>
        <w:ind w:left="426" w:hanging="426"/>
        <w:rPr>
          <w:szCs w:val="24"/>
        </w:rPr>
      </w:pPr>
      <w:r w:rsidRPr="00AC1A33">
        <w:rPr>
          <w:szCs w:val="24"/>
        </w:rPr>
        <w:t>Technologické trendy v silniční dopravě, 1.</w:t>
      </w:r>
      <w:r w:rsidR="00AC26B2">
        <w:rPr>
          <w:szCs w:val="24"/>
        </w:rPr>
        <w:t> </w:t>
      </w:r>
      <w:r w:rsidRPr="00AC1A33">
        <w:rPr>
          <w:szCs w:val="24"/>
        </w:rPr>
        <w:t>etapa: Popis problémů současného stavu, oblast alternativní pohonné hmoty, ČAPPO, březen 2018</w:t>
      </w:r>
    </w:p>
    <w:p w:rsidR="008A2B1C" w:rsidRPr="00AC1A33" w:rsidRDefault="00A90965" w:rsidP="00FD4C88">
      <w:pPr>
        <w:pStyle w:val="Odstavecseseznamem"/>
        <w:widowControl/>
        <w:numPr>
          <w:ilvl w:val="0"/>
          <w:numId w:val="35"/>
        </w:numPr>
        <w:overflowPunct w:val="0"/>
        <w:autoSpaceDE w:val="0"/>
        <w:ind w:left="426" w:hanging="426"/>
        <w:rPr>
          <w:szCs w:val="24"/>
        </w:rPr>
      </w:pPr>
      <w:r w:rsidRPr="00AC1A33">
        <w:rPr>
          <w:szCs w:val="24"/>
        </w:rPr>
        <w:t>Technologické trendy v silniční dopravě, 2. etapa: Směry technologického vývoje, oblast alternativní pohonné hmoty, ČAPPO, srpen 2018</w:t>
      </w:r>
    </w:p>
    <w:p w:rsidR="008A2B1C" w:rsidRPr="00AC1A33" w:rsidRDefault="00A90965" w:rsidP="00FD4C88">
      <w:pPr>
        <w:pStyle w:val="Odstavecseseznamem"/>
        <w:widowControl/>
        <w:numPr>
          <w:ilvl w:val="0"/>
          <w:numId w:val="35"/>
        </w:numPr>
        <w:overflowPunct w:val="0"/>
        <w:autoSpaceDE w:val="0"/>
        <w:ind w:left="426" w:hanging="426"/>
        <w:rPr>
          <w:szCs w:val="24"/>
        </w:rPr>
      </w:pPr>
      <w:r w:rsidRPr="00AC1A33">
        <w:rPr>
          <w:szCs w:val="24"/>
        </w:rPr>
        <w:t>Technologické trendy v silniční dopravě, 3</w:t>
      </w:r>
      <w:r w:rsidR="00AC26B2">
        <w:rPr>
          <w:szCs w:val="24"/>
        </w:rPr>
        <w:t>.</w:t>
      </w:r>
      <w:r w:rsidRPr="00AC1A33">
        <w:rPr>
          <w:szCs w:val="24"/>
        </w:rPr>
        <w:t xml:space="preserve"> etapa: Směry technologického vývoje – oblast alternativní pohonné hmoty pro silniční dopravu, říjen 2018</w:t>
      </w:r>
    </w:p>
    <w:p w:rsidR="008A2B1C" w:rsidRPr="00AC1A33" w:rsidRDefault="00A90965" w:rsidP="00FD4C88">
      <w:pPr>
        <w:pStyle w:val="Odstavecseseznamem"/>
        <w:widowControl/>
        <w:numPr>
          <w:ilvl w:val="0"/>
          <w:numId w:val="35"/>
        </w:numPr>
        <w:overflowPunct w:val="0"/>
        <w:autoSpaceDE w:val="0"/>
        <w:ind w:left="426" w:hanging="426"/>
        <w:rPr>
          <w:szCs w:val="24"/>
        </w:rPr>
      </w:pPr>
      <w:r w:rsidRPr="00AC1A33">
        <w:rPr>
          <w:szCs w:val="24"/>
        </w:rPr>
        <w:t>Technologické trendy v silniční dopravě, 4.</w:t>
      </w:r>
      <w:r w:rsidR="00AC26B2">
        <w:rPr>
          <w:szCs w:val="24"/>
        </w:rPr>
        <w:t xml:space="preserve"> </w:t>
      </w:r>
      <w:r w:rsidRPr="00AC1A33">
        <w:rPr>
          <w:szCs w:val="24"/>
        </w:rPr>
        <w:t>etapa: Aktualizace strategické výzkumné agendy, květen 2019</w:t>
      </w:r>
    </w:p>
    <w:p w:rsidR="008A2B1C" w:rsidRPr="00AC1A33" w:rsidRDefault="00A90965" w:rsidP="00FD4C88">
      <w:pPr>
        <w:pStyle w:val="Odstavecseseznamem"/>
        <w:widowControl/>
        <w:numPr>
          <w:ilvl w:val="0"/>
          <w:numId w:val="35"/>
        </w:numPr>
        <w:overflowPunct w:val="0"/>
        <w:autoSpaceDE w:val="0"/>
        <w:ind w:left="426" w:hanging="426"/>
        <w:rPr>
          <w:szCs w:val="24"/>
        </w:rPr>
      </w:pPr>
      <w:r w:rsidRPr="00AC1A33">
        <w:rPr>
          <w:szCs w:val="24"/>
        </w:rPr>
        <w:t>Technologické t</w:t>
      </w:r>
      <w:r w:rsidR="00AC26B2">
        <w:rPr>
          <w:szCs w:val="24"/>
        </w:rPr>
        <w:t>r</w:t>
      </w:r>
      <w:r w:rsidRPr="00AC1A33">
        <w:rPr>
          <w:szCs w:val="24"/>
        </w:rPr>
        <w:t>endy v silniční dopravě, 5. etapa:</w:t>
      </w:r>
      <w:r w:rsidR="00AC26B2">
        <w:rPr>
          <w:szCs w:val="24"/>
        </w:rPr>
        <w:t xml:space="preserve"> </w:t>
      </w:r>
      <w:r w:rsidRPr="00AC1A33">
        <w:rPr>
          <w:szCs w:val="24"/>
        </w:rPr>
        <w:t>Implementační akční plán oboru silniční doprava – oblast alternativních pohonných hmot v silniční dopravě, listopad 2019</w:t>
      </w:r>
    </w:p>
    <w:p w:rsidR="008A2B1C" w:rsidRPr="00AC1A33" w:rsidRDefault="00A90965" w:rsidP="00FD4C88">
      <w:pPr>
        <w:pStyle w:val="Odstavecseseznamem"/>
        <w:widowControl/>
        <w:numPr>
          <w:ilvl w:val="0"/>
          <w:numId w:val="35"/>
        </w:numPr>
        <w:overflowPunct w:val="0"/>
        <w:autoSpaceDE w:val="0"/>
        <w:ind w:left="426" w:hanging="426"/>
        <w:rPr>
          <w:szCs w:val="24"/>
        </w:rPr>
      </w:pPr>
      <w:r w:rsidRPr="00AC1A33">
        <w:rPr>
          <w:szCs w:val="24"/>
        </w:rPr>
        <w:t>Jak efektivně splnit cíle RED II v dopravě po roce 2020, ČAPPO, červen 2018 a 2019</w:t>
      </w:r>
    </w:p>
    <w:p w:rsidR="008A2B1C" w:rsidRPr="00AC1A33" w:rsidRDefault="00A90965" w:rsidP="00FD4C88">
      <w:pPr>
        <w:pStyle w:val="Odstavecseseznamem"/>
        <w:widowControl/>
        <w:numPr>
          <w:ilvl w:val="0"/>
          <w:numId w:val="35"/>
        </w:numPr>
        <w:overflowPunct w:val="0"/>
        <w:autoSpaceDE w:val="0"/>
        <w:ind w:left="426" w:hanging="426"/>
        <w:rPr>
          <w:szCs w:val="24"/>
        </w:rPr>
      </w:pPr>
      <w:r w:rsidRPr="00AC1A33">
        <w:rPr>
          <w:szCs w:val="24"/>
        </w:rPr>
        <w:t>Odstraňování minoritních nečistot z bioplynu, K</w:t>
      </w:r>
      <w:r w:rsidR="00AC26B2">
        <w:rPr>
          <w:szCs w:val="24"/>
        </w:rPr>
        <w:t>arel</w:t>
      </w:r>
      <w:r w:rsidRPr="00AC1A33">
        <w:rPr>
          <w:szCs w:val="24"/>
        </w:rPr>
        <w:t> </w:t>
      </w:r>
      <w:proofErr w:type="spellStart"/>
      <w:r w:rsidRPr="00AC1A33">
        <w:rPr>
          <w:szCs w:val="24"/>
        </w:rPr>
        <w:t>Ciahotný</w:t>
      </w:r>
      <w:proofErr w:type="spellEnd"/>
      <w:r w:rsidRPr="00AC1A33">
        <w:rPr>
          <w:szCs w:val="24"/>
        </w:rPr>
        <w:t>, VŠCHT Praha, 2010</w:t>
      </w:r>
    </w:p>
    <w:p w:rsidR="008A2B1C" w:rsidRPr="00AC1A33" w:rsidRDefault="00A90965" w:rsidP="00FD4C88">
      <w:pPr>
        <w:pStyle w:val="Odstavecseseznamem"/>
        <w:widowControl/>
        <w:numPr>
          <w:ilvl w:val="0"/>
          <w:numId w:val="35"/>
        </w:numPr>
        <w:overflowPunct w:val="0"/>
        <w:autoSpaceDE w:val="0"/>
        <w:ind w:left="426" w:hanging="426"/>
        <w:rPr>
          <w:szCs w:val="24"/>
        </w:rPr>
      </w:pPr>
      <w:proofErr w:type="spellStart"/>
      <w:r w:rsidRPr="00AC1A33">
        <w:rPr>
          <w:szCs w:val="24"/>
        </w:rPr>
        <w:t>Statistical</w:t>
      </w:r>
      <w:proofErr w:type="spellEnd"/>
      <w:r w:rsidRPr="00AC1A33">
        <w:rPr>
          <w:szCs w:val="24"/>
        </w:rPr>
        <w:t xml:space="preserve"> Report of </w:t>
      </w:r>
      <w:proofErr w:type="spellStart"/>
      <w:r w:rsidRPr="00AC1A33">
        <w:rPr>
          <w:szCs w:val="24"/>
        </w:rPr>
        <w:t>the</w:t>
      </w:r>
      <w:proofErr w:type="spellEnd"/>
      <w:r w:rsidRPr="00AC1A33">
        <w:rPr>
          <w:szCs w:val="24"/>
        </w:rPr>
        <w:t xml:space="preserve"> </w:t>
      </w:r>
      <w:proofErr w:type="spellStart"/>
      <w:r w:rsidRPr="00AC1A33">
        <w:rPr>
          <w:szCs w:val="24"/>
        </w:rPr>
        <w:t>European</w:t>
      </w:r>
      <w:proofErr w:type="spellEnd"/>
      <w:r w:rsidRPr="00AC1A33">
        <w:rPr>
          <w:szCs w:val="24"/>
        </w:rPr>
        <w:t xml:space="preserve"> </w:t>
      </w:r>
      <w:proofErr w:type="spellStart"/>
      <w:r w:rsidRPr="00AC1A33">
        <w:rPr>
          <w:szCs w:val="24"/>
        </w:rPr>
        <w:t>Biomas</w:t>
      </w:r>
      <w:r w:rsidR="00B13A3F">
        <w:rPr>
          <w:szCs w:val="24"/>
        </w:rPr>
        <w:t>s</w:t>
      </w:r>
      <w:proofErr w:type="spellEnd"/>
      <w:r w:rsidRPr="00AC1A33">
        <w:rPr>
          <w:szCs w:val="24"/>
        </w:rPr>
        <w:t xml:space="preserve"> </w:t>
      </w:r>
      <w:proofErr w:type="spellStart"/>
      <w:r w:rsidRPr="00AC1A33">
        <w:rPr>
          <w:szCs w:val="24"/>
        </w:rPr>
        <w:t>Association</w:t>
      </w:r>
      <w:proofErr w:type="spellEnd"/>
      <w:r w:rsidRPr="00AC1A33">
        <w:rPr>
          <w:szCs w:val="24"/>
        </w:rPr>
        <w:t xml:space="preserve"> 2018</w:t>
      </w:r>
      <w:r w:rsidR="00AC26B2">
        <w:rPr>
          <w:szCs w:val="24"/>
        </w:rPr>
        <w:t>,</w:t>
      </w:r>
      <w:r w:rsidRPr="00AC1A33">
        <w:rPr>
          <w:szCs w:val="24"/>
        </w:rPr>
        <w:t xml:space="preserve"> </w:t>
      </w:r>
      <w:proofErr w:type="spellStart"/>
      <w:r w:rsidRPr="00AC1A33">
        <w:rPr>
          <w:szCs w:val="24"/>
        </w:rPr>
        <w:t>Brussels</w:t>
      </w:r>
      <w:proofErr w:type="spellEnd"/>
      <w:r w:rsidRPr="00AC1A33">
        <w:rPr>
          <w:szCs w:val="24"/>
        </w:rPr>
        <w:t xml:space="preserve">, </w:t>
      </w:r>
      <w:proofErr w:type="spellStart"/>
      <w:r w:rsidRPr="00AC1A33">
        <w:rPr>
          <w:szCs w:val="24"/>
        </w:rPr>
        <w:t>Belgium</w:t>
      </w:r>
      <w:proofErr w:type="spellEnd"/>
      <w:r w:rsidRPr="00AC1A33">
        <w:rPr>
          <w:szCs w:val="24"/>
        </w:rPr>
        <w:t xml:space="preserve">, </w:t>
      </w:r>
      <w:proofErr w:type="spellStart"/>
      <w:r w:rsidRPr="00AC1A33">
        <w:rPr>
          <w:szCs w:val="24"/>
        </w:rPr>
        <w:t>December</w:t>
      </w:r>
      <w:proofErr w:type="spellEnd"/>
      <w:r w:rsidRPr="00AC1A33">
        <w:rPr>
          <w:szCs w:val="24"/>
        </w:rPr>
        <w:t xml:space="preserve"> 2018</w:t>
      </w:r>
    </w:p>
    <w:p w:rsidR="00AC26B2" w:rsidRPr="00AC26B2" w:rsidRDefault="00AC26B2" w:rsidP="00FD4C88">
      <w:pPr>
        <w:pStyle w:val="Odstavecseseznamem"/>
        <w:widowControl/>
        <w:numPr>
          <w:ilvl w:val="0"/>
          <w:numId w:val="35"/>
        </w:numPr>
        <w:overflowPunct w:val="0"/>
        <w:autoSpaceDE w:val="0"/>
        <w:ind w:left="426" w:hanging="426"/>
        <w:rPr>
          <w:szCs w:val="24"/>
        </w:rPr>
      </w:pPr>
      <w:r w:rsidRPr="00AC26B2">
        <w:rPr>
          <w:szCs w:val="24"/>
        </w:rPr>
        <w:t xml:space="preserve">Některé aspekty hydrogenace rostlinných olejů, ČAPPO, Milan Vitvar, Jiří </w:t>
      </w:r>
      <w:proofErr w:type="spellStart"/>
      <w:r w:rsidRPr="00AC26B2">
        <w:rPr>
          <w:szCs w:val="24"/>
        </w:rPr>
        <w:t>Plitz</w:t>
      </w:r>
      <w:proofErr w:type="spellEnd"/>
      <w:r w:rsidRPr="00AC26B2">
        <w:rPr>
          <w:szCs w:val="24"/>
        </w:rPr>
        <w:t xml:space="preserve"> aj., červen 2014</w:t>
      </w:r>
    </w:p>
    <w:p w:rsidR="00CC695E" w:rsidRDefault="00C3625F" w:rsidP="00FD4C88">
      <w:pPr>
        <w:pStyle w:val="Odstavecseseznamem"/>
        <w:widowControl/>
        <w:numPr>
          <w:ilvl w:val="0"/>
          <w:numId w:val="35"/>
        </w:numPr>
        <w:overflowPunct w:val="0"/>
        <w:autoSpaceDE w:val="0"/>
        <w:ind w:left="426" w:hanging="426"/>
        <w:rPr>
          <w:szCs w:val="24"/>
        </w:rPr>
      </w:pPr>
      <w:hyperlink r:id="rId13" w:history="1">
        <w:r w:rsidR="00CC695E" w:rsidRPr="00CC695E">
          <w:rPr>
            <w:rStyle w:val="Hypertextovodkaz"/>
            <w:szCs w:val="24"/>
          </w:rPr>
          <w:t>EFG Rapotín BPS dodává jako první v ČR certifikovaný biometan s neutrální uhlíkovou stopou a úsporou emisí</w:t>
        </w:r>
      </w:hyperlink>
      <w:r w:rsidR="00CC695E">
        <w:rPr>
          <w:szCs w:val="24"/>
        </w:rPr>
        <w:t xml:space="preserve">, </w:t>
      </w:r>
      <w:proofErr w:type="spellStart"/>
      <w:r w:rsidR="00CC695E">
        <w:rPr>
          <w:szCs w:val="24"/>
        </w:rPr>
        <w:t>EnviWeb</w:t>
      </w:r>
      <w:proofErr w:type="spellEnd"/>
      <w:r w:rsidR="00CC695E">
        <w:rPr>
          <w:szCs w:val="24"/>
        </w:rPr>
        <w:t>, 8. 4. 2020</w:t>
      </w:r>
    </w:p>
    <w:p w:rsidR="008A2B1C" w:rsidRPr="00AC1A33" w:rsidRDefault="00A90965" w:rsidP="00FD4C88">
      <w:pPr>
        <w:pStyle w:val="Odstavecseseznamem"/>
        <w:widowControl/>
        <w:numPr>
          <w:ilvl w:val="0"/>
          <w:numId w:val="35"/>
        </w:numPr>
        <w:overflowPunct w:val="0"/>
        <w:autoSpaceDE w:val="0"/>
        <w:ind w:left="426" w:hanging="426"/>
        <w:rPr>
          <w:szCs w:val="24"/>
        </w:rPr>
      </w:pPr>
      <w:r w:rsidRPr="00AC1A33">
        <w:rPr>
          <w:szCs w:val="24"/>
        </w:rPr>
        <w:t>Obnovitelné zdroje energie v roce 2018, MPO, září 2019</w:t>
      </w:r>
    </w:p>
    <w:p w:rsidR="00CC695E" w:rsidRPr="000A2D35" w:rsidRDefault="00CC695E" w:rsidP="00FD4C88">
      <w:pPr>
        <w:pStyle w:val="Odstavecseseznamem"/>
        <w:widowControl/>
        <w:numPr>
          <w:ilvl w:val="0"/>
          <w:numId w:val="35"/>
        </w:numPr>
        <w:overflowPunct w:val="0"/>
        <w:autoSpaceDE w:val="0"/>
        <w:ind w:left="425" w:hanging="425"/>
        <w:rPr>
          <w:rFonts w:cs="Arial"/>
          <w:szCs w:val="24"/>
        </w:rPr>
      </w:pPr>
      <w:r w:rsidRPr="00CC695E">
        <w:rPr>
          <w:szCs w:val="24"/>
        </w:rPr>
        <w:t>Zpráva</w:t>
      </w:r>
      <w:r w:rsidRPr="000A2D35">
        <w:rPr>
          <w:rFonts w:cs="Arial"/>
          <w:szCs w:val="24"/>
        </w:rPr>
        <w:t xml:space="preserve"> o vývoji energetiky v oblasti ropy a ropných produktů za roky 2011</w:t>
      </w:r>
      <w:r>
        <w:rPr>
          <w:rFonts w:cs="Arial"/>
          <w:szCs w:val="24"/>
        </w:rPr>
        <w:t xml:space="preserve"> </w:t>
      </w:r>
      <w:r w:rsidRPr="000A2D35">
        <w:rPr>
          <w:rFonts w:cs="Arial"/>
          <w:szCs w:val="24"/>
        </w:rPr>
        <w:t xml:space="preserve">až 2018, MPO, </w:t>
      </w:r>
      <w:r>
        <w:rPr>
          <w:rFonts w:cs="Arial"/>
          <w:szCs w:val="24"/>
        </w:rPr>
        <w:t xml:space="preserve">červen </w:t>
      </w:r>
      <w:r w:rsidRPr="000A2D35">
        <w:rPr>
          <w:rFonts w:cs="Arial"/>
          <w:szCs w:val="24"/>
        </w:rPr>
        <w:t>2019</w:t>
      </w:r>
    </w:p>
    <w:p w:rsidR="008A2B1C" w:rsidRPr="00AC1A33" w:rsidRDefault="00A90965" w:rsidP="00FD4C88">
      <w:pPr>
        <w:pStyle w:val="Odstavecseseznamem"/>
        <w:widowControl/>
        <w:numPr>
          <w:ilvl w:val="0"/>
          <w:numId w:val="35"/>
        </w:numPr>
        <w:overflowPunct w:val="0"/>
        <w:autoSpaceDE w:val="0"/>
        <w:ind w:left="426" w:hanging="426"/>
        <w:rPr>
          <w:szCs w:val="24"/>
        </w:rPr>
      </w:pPr>
      <w:r w:rsidRPr="00AC1A33">
        <w:rPr>
          <w:szCs w:val="24"/>
        </w:rPr>
        <w:t xml:space="preserve">Optimální využití OZE v dopravě, </w:t>
      </w:r>
      <w:r w:rsidR="00CC695E">
        <w:rPr>
          <w:szCs w:val="24"/>
        </w:rPr>
        <w:t>k</w:t>
      </w:r>
      <w:r w:rsidRPr="00AC1A33">
        <w:rPr>
          <w:szCs w:val="24"/>
        </w:rPr>
        <w:t>on</w:t>
      </w:r>
      <w:r w:rsidR="00CC695E">
        <w:rPr>
          <w:szCs w:val="24"/>
        </w:rPr>
        <w:t>s</w:t>
      </w:r>
      <w:r w:rsidRPr="00AC1A33">
        <w:rPr>
          <w:szCs w:val="24"/>
        </w:rPr>
        <w:t>orcium VŠCHT, UK, ČAPPO, SCHP</w:t>
      </w:r>
      <w:r w:rsidR="00CC695E">
        <w:rPr>
          <w:szCs w:val="24"/>
        </w:rPr>
        <w:t xml:space="preserve"> ČR</w:t>
      </w:r>
      <w:r w:rsidRPr="00AC1A33">
        <w:rPr>
          <w:szCs w:val="24"/>
        </w:rPr>
        <w:t>, MPO a</w:t>
      </w:r>
      <w:r w:rsidR="00CC695E">
        <w:rPr>
          <w:szCs w:val="24"/>
        </w:rPr>
        <w:t> </w:t>
      </w:r>
      <w:r w:rsidRPr="00AC1A33">
        <w:rPr>
          <w:szCs w:val="24"/>
        </w:rPr>
        <w:t>MŽP</w:t>
      </w:r>
      <w:r w:rsidR="00CC695E">
        <w:rPr>
          <w:szCs w:val="24"/>
        </w:rPr>
        <w:t>,</w:t>
      </w:r>
      <w:r w:rsidRPr="00AC1A33">
        <w:rPr>
          <w:szCs w:val="24"/>
        </w:rPr>
        <w:t xml:space="preserve"> 2018 až 2020</w:t>
      </w:r>
    </w:p>
    <w:p w:rsidR="008A2B1C" w:rsidRPr="00FB05FD" w:rsidRDefault="00A90965" w:rsidP="00FD4C88">
      <w:pPr>
        <w:pStyle w:val="Odstavecseseznamem"/>
        <w:widowControl/>
        <w:numPr>
          <w:ilvl w:val="0"/>
          <w:numId w:val="35"/>
        </w:numPr>
        <w:overflowPunct w:val="0"/>
        <w:autoSpaceDE w:val="0"/>
        <w:ind w:left="426" w:hanging="426"/>
        <w:rPr>
          <w:szCs w:val="24"/>
        </w:rPr>
      </w:pPr>
      <w:r w:rsidRPr="00AC1A33">
        <w:rPr>
          <w:szCs w:val="24"/>
        </w:rPr>
        <w:t>CEN</w:t>
      </w:r>
      <w:r w:rsidR="00FB05FD">
        <w:rPr>
          <w:szCs w:val="24"/>
        </w:rPr>
        <w:t>/</w:t>
      </w:r>
      <w:r w:rsidRPr="00AC1A33">
        <w:rPr>
          <w:szCs w:val="24"/>
        </w:rPr>
        <w:t>TC 19 N 2040 Outlo</w:t>
      </w:r>
      <w:r w:rsidR="00FB05FD">
        <w:rPr>
          <w:szCs w:val="24"/>
        </w:rPr>
        <w:t>o</w:t>
      </w:r>
      <w:r w:rsidRPr="00AC1A33">
        <w:rPr>
          <w:szCs w:val="24"/>
        </w:rPr>
        <w:t xml:space="preserve">k on </w:t>
      </w:r>
      <w:proofErr w:type="spellStart"/>
      <w:r w:rsidRPr="00AC1A33">
        <w:rPr>
          <w:szCs w:val="24"/>
        </w:rPr>
        <w:t>future</w:t>
      </w:r>
      <w:proofErr w:type="spellEnd"/>
      <w:r w:rsidRPr="00AC1A33">
        <w:rPr>
          <w:szCs w:val="24"/>
        </w:rPr>
        <w:t xml:space="preserve"> </w:t>
      </w:r>
      <w:proofErr w:type="spellStart"/>
      <w:r w:rsidRPr="00AC1A33">
        <w:rPr>
          <w:szCs w:val="24"/>
        </w:rPr>
        <w:t>needs</w:t>
      </w:r>
      <w:proofErr w:type="spellEnd"/>
      <w:r w:rsidRPr="00AC1A33">
        <w:rPr>
          <w:szCs w:val="24"/>
        </w:rPr>
        <w:t xml:space="preserve"> </w:t>
      </w:r>
      <w:proofErr w:type="spellStart"/>
      <w:r w:rsidRPr="00AC1A33">
        <w:rPr>
          <w:szCs w:val="24"/>
        </w:rPr>
        <w:t>for</w:t>
      </w:r>
      <w:proofErr w:type="spellEnd"/>
      <w:r w:rsidRPr="00AC1A33">
        <w:rPr>
          <w:szCs w:val="24"/>
        </w:rPr>
        <w:t xml:space="preserve"> </w:t>
      </w:r>
      <w:proofErr w:type="spellStart"/>
      <w:r w:rsidRPr="00AC1A33">
        <w:rPr>
          <w:szCs w:val="24"/>
        </w:rPr>
        <w:t>standardisation</w:t>
      </w:r>
      <w:proofErr w:type="spellEnd"/>
      <w:r w:rsidRPr="00AC1A33">
        <w:rPr>
          <w:szCs w:val="24"/>
        </w:rPr>
        <w:t>, CEN</w:t>
      </w:r>
      <w:r w:rsidR="00FB05FD">
        <w:rPr>
          <w:szCs w:val="24"/>
        </w:rPr>
        <w:t>,</w:t>
      </w:r>
      <w:r w:rsidRPr="00AC1A33">
        <w:rPr>
          <w:szCs w:val="24"/>
        </w:rPr>
        <w:t xml:space="preserve"> 21.</w:t>
      </w:r>
      <w:r w:rsidR="00FB05FD">
        <w:rPr>
          <w:szCs w:val="24"/>
        </w:rPr>
        <w:t xml:space="preserve"> </w:t>
      </w:r>
      <w:r w:rsidRPr="00AC1A33">
        <w:rPr>
          <w:szCs w:val="24"/>
        </w:rPr>
        <w:t>1. 2020</w:t>
      </w:r>
    </w:p>
    <w:p w:rsidR="008A2B1C" w:rsidRPr="00AC1A33" w:rsidRDefault="008A2B1C">
      <w:pPr>
        <w:pStyle w:val="Odstavecseseznamem"/>
        <w:widowControl/>
        <w:tabs>
          <w:tab w:val="left" w:pos="284"/>
        </w:tabs>
        <w:spacing w:after="60"/>
        <w:ind w:left="0"/>
        <w:jc w:val="left"/>
        <w:rPr>
          <w:szCs w:val="24"/>
        </w:rPr>
      </w:pPr>
    </w:p>
    <w:p w:rsidR="008A2B1C" w:rsidRPr="00AC1A33" w:rsidRDefault="008A2B1C">
      <w:pPr>
        <w:pStyle w:val="Odstavecseseznamem"/>
        <w:widowControl/>
        <w:tabs>
          <w:tab w:val="left" w:pos="284"/>
        </w:tabs>
        <w:spacing w:after="60"/>
        <w:ind w:left="0"/>
        <w:jc w:val="left"/>
        <w:rPr>
          <w:szCs w:val="24"/>
          <w:u w:val="single"/>
        </w:rPr>
      </w:pPr>
    </w:p>
    <w:sectPr w:rsidR="008A2B1C" w:rsidRPr="00AC1A33" w:rsidSect="00B13A3F">
      <w:endnotePr>
        <w:numFmt w:val="decimal"/>
      </w:endnotePr>
      <w:pgSz w:w="11906" w:h="16838"/>
      <w:pgMar w:top="1418" w:right="1418" w:bottom="1418" w:left="1418" w:header="709" w:footer="709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625F" w:rsidRDefault="00C3625F">
      <w:r>
        <w:separator/>
      </w:r>
    </w:p>
  </w:endnote>
  <w:endnote w:type="continuationSeparator" w:id="0">
    <w:p w:rsidR="00C3625F" w:rsidRDefault="00C36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altName w:val="Calibri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62A0" w:rsidRDefault="002862A0">
    <w:pPr>
      <w:pStyle w:val="Zpat"/>
      <w:ind w:right="360"/>
    </w:pPr>
    <w:r>
      <w:fldChar w:fldCharType="begin"/>
    </w:r>
    <w:r>
      <w:instrText xml:space="preserve"> PAGE </w:instrText>
    </w:r>
    <w:r>
      <w:fldChar w:fldCharType="separate"/>
    </w:r>
    <w:r>
      <w:t>18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62A0" w:rsidRPr="000F617E" w:rsidRDefault="002862A0">
    <w:pPr>
      <w:pStyle w:val="Zpat"/>
      <w:jc w:val="center"/>
      <w:rPr>
        <w:rFonts w:ascii="Times New Roman" w:hAnsi="Times New Roman"/>
        <w:sz w:val="24"/>
        <w:szCs w:val="24"/>
      </w:rPr>
    </w:pPr>
    <w:r w:rsidRPr="000F617E">
      <w:rPr>
        <w:rFonts w:ascii="Times New Roman" w:hAnsi="Times New Roman"/>
        <w:sz w:val="24"/>
        <w:szCs w:val="24"/>
      </w:rPr>
      <w:fldChar w:fldCharType="begin"/>
    </w:r>
    <w:r w:rsidRPr="000F617E">
      <w:rPr>
        <w:rFonts w:ascii="Times New Roman" w:hAnsi="Times New Roman"/>
        <w:sz w:val="24"/>
        <w:szCs w:val="24"/>
      </w:rPr>
      <w:instrText xml:space="preserve"> PAGE </w:instrText>
    </w:r>
    <w:r w:rsidRPr="000F617E">
      <w:rPr>
        <w:rFonts w:ascii="Times New Roman" w:hAnsi="Times New Roman"/>
        <w:sz w:val="24"/>
        <w:szCs w:val="24"/>
      </w:rPr>
      <w:fldChar w:fldCharType="separate"/>
    </w:r>
    <w:r w:rsidRPr="000F617E">
      <w:rPr>
        <w:rFonts w:ascii="Times New Roman" w:hAnsi="Times New Roman"/>
        <w:sz w:val="24"/>
        <w:szCs w:val="24"/>
      </w:rPr>
      <w:t>17</w:t>
    </w:r>
    <w:r w:rsidRPr="000F617E">
      <w:rPr>
        <w:rFonts w:ascii="Times New Roman" w:hAnsi="Times New Roman"/>
        <w:sz w:val="24"/>
        <w:szCs w:val="24"/>
      </w:rPr>
      <w:fldChar w:fldCharType="end"/>
    </w:r>
  </w:p>
  <w:p w:rsidR="002862A0" w:rsidRDefault="002862A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62A0" w:rsidRPr="0050078A" w:rsidRDefault="002862A0">
    <w:pPr>
      <w:pStyle w:val="Zpat"/>
      <w:jc w:val="center"/>
      <w:rPr>
        <w:rFonts w:ascii="Times New Roman" w:hAnsi="Times New Roman"/>
        <w:sz w:val="24"/>
        <w:szCs w:val="24"/>
      </w:rPr>
    </w:pPr>
  </w:p>
  <w:p w:rsidR="002862A0" w:rsidRPr="0050078A" w:rsidRDefault="002862A0">
    <w:pPr>
      <w:pStyle w:val="Zpat"/>
      <w:rPr>
        <w:rFonts w:ascii="Times New Roman" w:hAnsi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625F" w:rsidRDefault="00C3625F">
      <w:r>
        <w:rPr>
          <w:color w:val="000000"/>
        </w:rPr>
        <w:separator/>
      </w:r>
    </w:p>
  </w:footnote>
  <w:footnote w:type="continuationSeparator" w:id="0">
    <w:p w:rsidR="00C3625F" w:rsidRDefault="00C362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62A0" w:rsidRDefault="002862A0">
    <w:pPr>
      <w:pStyle w:val="Zhlav"/>
      <w:spacing w:after="240"/>
    </w:pPr>
    <w:r>
      <w:rPr>
        <w:noProof/>
      </w:rPr>
      <w:drawing>
        <wp:anchor distT="0" distB="0" distL="114300" distR="114300" simplePos="0" relativeHeight="251666432" behindDoc="1" locked="0" layoutInCell="1" allowOverlap="1" wp14:anchorId="5FF8DB37" wp14:editId="68FEC457">
          <wp:simplePos x="0" y="0"/>
          <wp:positionH relativeFrom="column">
            <wp:posOffset>3989705</wp:posOffset>
          </wp:positionH>
          <wp:positionV relativeFrom="paragraph">
            <wp:posOffset>-264910</wp:posOffset>
          </wp:positionV>
          <wp:extent cx="697865" cy="697865"/>
          <wp:effectExtent l="0" t="0" r="6985" b="6985"/>
          <wp:wrapTight wrapText="bothSides">
            <wp:wrapPolygon edited="0">
              <wp:start x="0" y="0"/>
              <wp:lineTo x="0" y="21227"/>
              <wp:lineTo x="21227" y="21227"/>
              <wp:lineTo x="21227" y="0"/>
              <wp:lineTo x="0" y="0"/>
            </wp:wrapPolygon>
          </wp:wrapTight>
          <wp:docPr id="19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7865" cy="697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1" locked="0" layoutInCell="1" allowOverlap="1" wp14:anchorId="2639747D" wp14:editId="0536B20F">
          <wp:simplePos x="0" y="0"/>
          <wp:positionH relativeFrom="column">
            <wp:posOffset>2270125</wp:posOffset>
          </wp:positionH>
          <wp:positionV relativeFrom="paragraph">
            <wp:posOffset>-174972</wp:posOffset>
          </wp:positionV>
          <wp:extent cx="1148080" cy="608330"/>
          <wp:effectExtent l="0" t="0" r="0" b="1270"/>
          <wp:wrapTight wrapText="bothSides">
            <wp:wrapPolygon edited="0">
              <wp:start x="0" y="0"/>
              <wp:lineTo x="0" y="20969"/>
              <wp:lineTo x="21146" y="20969"/>
              <wp:lineTo x="21146" y="0"/>
              <wp:lineTo x="0" y="0"/>
            </wp:wrapPolygon>
          </wp:wrapTight>
          <wp:docPr id="20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8080" cy="608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654074E3" wp14:editId="74D1060C">
          <wp:simplePos x="0" y="0"/>
          <wp:positionH relativeFrom="page">
            <wp:posOffset>950307</wp:posOffset>
          </wp:positionH>
          <wp:positionV relativeFrom="page">
            <wp:posOffset>324659</wp:posOffset>
          </wp:positionV>
          <wp:extent cx="2070000" cy="640800"/>
          <wp:effectExtent l="0" t="0" r="6985" b="6985"/>
          <wp:wrapTight wrapText="bothSides">
            <wp:wrapPolygon edited="0">
              <wp:start x="0" y="0"/>
              <wp:lineTo x="0" y="21193"/>
              <wp:lineTo x="21474" y="21193"/>
              <wp:lineTo x="21474" y="0"/>
              <wp:lineTo x="0" y="0"/>
            </wp:wrapPolygon>
          </wp:wrapTight>
          <wp:docPr id="21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0000" cy="640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</w:t>
    </w:r>
    <w:bookmarkStart w:id="50" w:name="_Hlk520290375"/>
    <w:bookmarkEnd w:id="50"/>
    <w:r>
      <w:t xml:space="preserve">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62A0" w:rsidRDefault="002862A0" w:rsidP="00A90965">
    <w:pPr>
      <w:pStyle w:val="Zhlav"/>
      <w:tabs>
        <w:tab w:val="clear" w:pos="4536"/>
        <w:tab w:val="left" w:pos="3544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7955EDE9">
          <wp:simplePos x="0" y="0"/>
          <wp:positionH relativeFrom="column">
            <wp:posOffset>4100057</wp:posOffset>
          </wp:positionH>
          <wp:positionV relativeFrom="paragraph">
            <wp:posOffset>-277495</wp:posOffset>
          </wp:positionV>
          <wp:extent cx="697865" cy="697865"/>
          <wp:effectExtent l="0" t="0" r="6985" b="6985"/>
          <wp:wrapTight wrapText="bothSides">
            <wp:wrapPolygon edited="0">
              <wp:start x="0" y="0"/>
              <wp:lineTo x="0" y="21227"/>
              <wp:lineTo x="21227" y="21227"/>
              <wp:lineTo x="21227" y="0"/>
              <wp:lineTo x="0" y="0"/>
            </wp:wrapPolygon>
          </wp:wrapTight>
          <wp:docPr id="22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7865" cy="697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39C98CFF">
          <wp:simplePos x="0" y="0"/>
          <wp:positionH relativeFrom="page">
            <wp:posOffset>836295</wp:posOffset>
          </wp:positionH>
          <wp:positionV relativeFrom="page">
            <wp:posOffset>372052</wp:posOffset>
          </wp:positionV>
          <wp:extent cx="2070000" cy="640800"/>
          <wp:effectExtent l="0" t="0" r="6985" b="6985"/>
          <wp:wrapTight wrapText="bothSides">
            <wp:wrapPolygon edited="0">
              <wp:start x="0" y="0"/>
              <wp:lineTo x="0" y="21193"/>
              <wp:lineTo x="21474" y="21193"/>
              <wp:lineTo x="21474" y="0"/>
              <wp:lineTo x="0" y="0"/>
            </wp:wrapPolygon>
          </wp:wrapTight>
          <wp:docPr id="23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0000" cy="640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77B2222C">
          <wp:simplePos x="0" y="0"/>
          <wp:positionH relativeFrom="column">
            <wp:posOffset>2232660</wp:posOffset>
          </wp:positionH>
          <wp:positionV relativeFrom="paragraph">
            <wp:posOffset>-127635</wp:posOffset>
          </wp:positionV>
          <wp:extent cx="1148080" cy="608330"/>
          <wp:effectExtent l="0" t="0" r="0" b="1270"/>
          <wp:wrapTight wrapText="bothSides">
            <wp:wrapPolygon edited="0">
              <wp:start x="0" y="0"/>
              <wp:lineTo x="0" y="20969"/>
              <wp:lineTo x="21146" y="20969"/>
              <wp:lineTo x="21146" y="0"/>
              <wp:lineTo x="0" y="0"/>
            </wp:wrapPolygon>
          </wp:wrapTight>
          <wp:docPr id="24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8080" cy="608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2862A0" w:rsidRDefault="002862A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16F3A"/>
    <w:multiLevelType w:val="multilevel"/>
    <w:tmpl w:val="CA361514"/>
    <w:styleLink w:val="WWNum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 w15:restartNumberingAfterBreak="0">
    <w:nsid w:val="05610534"/>
    <w:multiLevelType w:val="hybridMultilevel"/>
    <w:tmpl w:val="7074AA20"/>
    <w:lvl w:ilvl="0" w:tplc="838E81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00" w:themeColor="text1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10053C"/>
    <w:multiLevelType w:val="multilevel"/>
    <w:tmpl w:val="D89C5C28"/>
    <w:styleLink w:val="WWNum23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 w15:restartNumberingAfterBreak="0">
    <w:nsid w:val="0B305AB9"/>
    <w:multiLevelType w:val="multilevel"/>
    <w:tmpl w:val="87F667AA"/>
    <w:styleLink w:val="WWNum2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 w15:restartNumberingAfterBreak="0">
    <w:nsid w:val="0DC1552A"/>
    <w:multiLevelType w:val="multilevel"/>
    <w:tmpl w:val="E2E4EF3E"/>
    <w:styleLink w:val="WWNum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1E40D18"/>
    <w:multiLevelType w:val="multilevel"/>
    <w:tmpl w:val="F5986422"/>
    <w:styleLink w:val="WWNum2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12BE23F4"/>
    <w:multiLevelType w:val="multilevel"/>
    <w:tmpl w:val="F0A6BABE"/>
    <w:styleLink w:val="WWNum1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 w15:restartNumberingAfterBreak="0">
    <w:nsid w:val="14412467"/>
    <w:multiLevelType w:val="multilevel"/>
    <w:tmpl w:val="9EBC38DE"/>
    <w:styleLink w:val="WWNum7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 w15:restartNumberingAfterBreak="0">
    <w:nsid w:val="15DB19AB"/>
    <w:multiLevelType w:val="hybridMultilevel"/>
    <w:tmpl w:val="C39E3B10"/>
    <w:lvl w:ilvl="0" w:tplc="F97A68A6">
      <w:start w:val="1"/>
      <w:numFmt w:val="decimal"/>
      <w:lvlText w:val="1.1.%1"/>
      <w:lvlJc w:val="left"/>
      <w:pPr>
        <w:ind w:left="720" w:hanging="360"/>
      </w:pPr>
      <w:rPr>
        <w:rFonts w:hint="default"/>
        <w:b w:val="0"/>
        <w:i w:val="0"/>
        <w:sz w:val="2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A5464F"/>
    <w:multiLevelType w:val="hybridMultilevel"/>
    <w:tmpl w:val="EF56591C"/>
    <w:lvl w:ilvl="0" w:tplc="838E81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00" w:themeColor="text1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F22394"/>
    <w:multiLevelType w:val="multilevel"/>
    <w:tmpl w:val="35126FC6"/>
    <w:styleLink w:val="WWNum1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1" w15:restartNumberingAfterBreak="0">
    <w:nsid w:val="1D074697"/>
    <w:multiLevelType w:val="hybridMultilevel"/>
    <w:tmpl w:val="E56AB2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B95AB8"/>
    <w:multiLevelType w:val="hybridMultilevel"/>
    <w:tmpl w:val="6EFE932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F31937"/>
    <w:multiLevelType w:val="multilevel"/>
    <w:tmpl w:val="1CF06F7A"/>
    <w:styleLink w:val="WWNum27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4" w15:restartNumberingAfterBreak="0">
    <w:nsid w:val="2673459A"/>
    <w:multiLevelType w:val="hybridMultilevel"/>
    <w:tmpl w:val="6EFE932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7B6145"/>
    <w:multiLevelType w:val="multilevel"/>
    <w:tmpl w:val="B2D66CD2"/>
    <w:lvl w:ilvl="0">
      <w:start w:val="1"/>
      <w:numFmt w:val="decimal"/>
      <w:lvlText w:val="1.%1"/>
      <w:lvlJc w:val="left"/>
      <w:pPr>
        <w:ind w:left="1764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</w:rPr>
    </w:lvl>
    <w:lvl w:ilvl="1">
      <w:start w:val="1"/>
      <w:numFmt w:val="decimal"/>
      <w:lvlText w:val="%2."/>
      <w:lvlJc w:val="left"/>
      <w:pPr>
        <w:ind w:left="2124" w:hanging="360"/>
      </w:pPr>
    </w:lvl>
    <w:lvl w:ilvl="2">
      <w:start w:val="1"/>
      <w:numFmt w:val="decimal"/>
      <w:lvlText w:val="%3."/>
      <w:lvlJc w:val="left"/>
      <w:pPr>
        <w:ind w:left="2484" w:hanging="360"/>
      </w:pPr>
    </w:lvl>
    <w:lvl w:ilvl="3">
      <w:start w:val="1"/>
      <w:numFmt w:val="decimal"/>
      <w:lvlText w:val="%4."/>
      <w:lvlJc w:val="left"/>
      <w:pPr>
        <w:ind w:left="2844" w:hanging="360"/>
      </w:pPr>
    </w:lvl>
    <w:lvl w:ilvl="4">
      <w:start w:val="1"/>
      <w:numFmt w:val="decimal"/>
      <w:lvlText w:val="%5."/>
      <w:lvlJc w:val="left"/>
      <w:pPr>
        <w:ind w:left="3204" w:hanging="360"/>
      </w:pPr>
    </w:lvl>
    <w:lvl w:ilvl="5">
      <w:start w:val="1"/>
      <w:numFmt w:val="decimal"/>
      <w:lvlText w:val="%6."/>
      <w:lvlJc w:val="left"/>
      <w:pPr>
        <w:ind w:left="3564" w:hanging="360"/>
      </w:pPr>
    </w:lvl>
    <w:lvl w:ilvl="6">
      <w:start w:val="1"/>
      <w:numFmt w:val="decimal"/>
      <w:lvlText w:val="%7."/>
      <w:lvlJc w:val="left"/>
      <w:pPr>
        <w:ind w:left="3924" w:hanging="360"/>
      </w:pPr>
    </w:lvl>
    <w:lvl w:ilvl="7">
      <w:start w:val="1"/>
      <w:numFmt w:val="decimal"/>
      <w:lvlText w:val="%8."/>
      <w:lvlJc w:val="left"/>
      <w:pPr>
        <w:ind w:left="4284" w:hanging="360"/>
      </w:pPr>
    </w:lvl>
    <w:lvl w:ilvl="8">
      <w:start w:val="1"/>
      <w:numFmt w:val="decimal"/>
      <w:lvlText w:val="%9."/>
      <w:lvlJc w:val="left"/>
      <w:pPr>
        <w:ind w:left="4644" w:hanging="360"/>
      </w:pPr>
    </w:lvl>
  </w:abstractNum>
  <w:abstractNum w:abstractNumId="16" w15:restartNumberingAfterBreak="0">
    <w:nsid w:val="29375D0D"/>
    <w:multiLevelType w:val="hybridMultilevel"/>
    <w:tmpl w:val="36605EE0"/>
    <w:lvl w:ilvl="0" w:tplc="73C23CD6">
      <w:start w:val="1"/>
      <w:numFmt w:val="decimal"/>
      <w:lvlText w:val="1.3.%1"/>
      <w:lvlJc w:val="left"/>
      <w:pPr>
        <w:ind w:left="720" w:hanging="360"/>
      </w:pPr>
      <w:rPr>
        <w:rFonts w:hint="default"/>
        <w:b w:val="0"/>
        <w:i w:val="0"/>
        <w:sz w:val="2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C93182"/>
    <w:multiLevelType w:val="hybridMultilevel"/>
    <w:tmpl w:val="6EFE932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8A30E8"/>
    <w:multiLevelType w:val="multilevel"/>
    <w:tmpl w:val="FC062A2E"/>
    <w:styleLink w:val="WWNum2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9" w15:restartNumberingAfterBreak="0">
    <w:nsid w:val="340C75A6"/>
    <w:multiLevelType w:val="multilevel"/>
    <w:tmpl w:val="72CEC632"/>
    <w:styleLink w:val="Outline"/>
    <w:lvl w:ilvl="0">
      <w:start w:val="1"/>
      <w:numFmt w:val="decimal"/>
      <w:lvlText w:val="4.%1"/>
      <w:lvlJc w:val="left"/>
      <w:pPr>
        <w:ind w:left="360" w:hanging="360"/>
      </w:pPr>
      <w:rPr>
        <w:rFonts w:cs="Times New Roman"/>
        <w:b w:val="0"/>
        <w:i w:val="0"/>
        <w:sz w:val="28"/>
      </w:rPr>
    </w:lvl>
    <w:lvl w:ilvl="1">
      <w:start w:val="1"/>
      <w:numFmt w:val="none"/>
      <w:lvlText w:val="%2"/>
      <w:lvlJc w:val="left"/>
      <w:pPr>
        <w:ind w:left="576" w:hanging="576"/>
      </w:p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20" w15:restartNumberingAfterBreak="0">
    <w:nsid w:val="34E8552E"/>
    <w:multiLevelType w:val="multilevel"/>
    <w:tmpl w:val="29FCED3E"/>
    <w:styleLink w:val="WWNum25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1" w15:restartNumberingAfterBreak="0">
    <w:nsid w:val="354F52BD"/>
    <w:multiLevelType w:val="hybridMultilevel"/>
    <w:tmpl w:val="6EFE932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7754E8"/>
    <w:multiLevelType w:val="hybridMultilevel"/>
    <w:tmpl w:val="A6209AFC"/>
    <w:lvl w:ilvl="0" w:tplc="5608F0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BA0115"/>
    <w:multiLevelType w:val="hybridMultilevel"/>
    <w:tmpl w:val="6EFE932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192DBC"/>
    <w:multiLevelType w:val="multilevel"/>
    <w:tmpl w:val="90EAF5EA"/>
    <w:styleLink w:val="WWNum2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  <w:b/>
        <w:sz w:val="24"/>
      </w:rPr>
    </w:lvl>
    <w:lvl w:ilvl="2">
      <w:start w:val="1"/>
      <w:numFmt w:val="lowerRoman"/>
      <w:lvlText w:val="%1.%2.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1.%2.%3.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1.%2.%3.%4.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1.%2.%3.%4.%5.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left"/>
      <w:pPr>
        <w:ind w:left="3240" w:hanging="360"/>
      </w:pPr>
      <w:rPr>
        <w:rFonts w:cs="Times New Roman"/>
      </w:rPr>
    </w:lvl>
  </w:abstractNum>
  <w:abstractNum w:abstractNumId="25" w15:restartNumberingAfterBreak="0">
    <w:nsid w:val="3B346D30"/>
    <w:multiLevelType w:val="multilevel"/>
    <w:tmpl w:val="529EEB86"/>
    <w:styleLink w:val="WWNum1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6" w15:restartNumberingAfterBreak="0">
    <w:nsid w:val="3F903B45"/>
    <w:multiLevelType w:val="multilevel"/>
    <w:tmpl w:val="2B5E2E5E"/>
    <w:styleLink w:val="WWNum2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7" w15:restartNumberingAfterBreak="0">
    <w:nsid w:val="3FCD6FDF"/>
    <w:multiLevelType w:val="hybridMultilevel"/>
    <w:tmpl w:val="6EFE932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026054"/>
    <w:multiLevelType w:val="multilevel"/>
    <w:tmpl w:val="8904FDD0"/>
    <w:styleLink w:val="WWNum15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9" w15:restartNumberingAfterBreak="0">
    <w:nsid w:val="43606EA8"/>
    <w:multiLevelType w:val="multilevel"/>
    <w:tmpl w:val="E0D4E86E"/>
    <w:styleLink w:val="WWNum2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0" w15:restartNumberingAfterBreak="0">
    <w:nsid w:val="438D3630"/>
    <w:multiLevelType w:val="hybridMultilevel"/>
    <w:tmpl w:val="022EEFC6"/>
    <w:lvl w:ilvl="0" w:tplc="FD9E2E64">
      <w:start w:val="1"/>
      <w:numFmt w:val="decimal"/>
      <w:lvlText w:val="1.2.%1"/>
      <w:lvlJc w:val="left"/>
      <w:pPr>
        <w:ind w:left="720" w:hanging="360"/>
      </w:pPr>
      <w:rPr>
        <w:rFonts w:hint="default"/>
        <w:b w:val="0"/>
        <w:i w:val="0"/>
        <w:sz w:val="2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8B45B26"/>
    <w:multiLevelType w:val="hybridMultilevel"/>
    <w:tmpl w:val="6EFE932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B8F60D0"/>
    <w:multiLevelType w:val="multilevel"/>
    <w:tmpl w:val="89120D1A"/>
    <w:styleLink w:val="WWNum17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3" w15:restartNumberingAfterBreak="0">
    <w:nsid w:val="4CBE6B5C"/>
    <w:multiLevelType w:val="multilevel"/>
    <w:tmpl w:val="FF38A51A"/>
    <w:styleLink w:val="WWNum1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4" w15:restartNumberingAfterBreak="0">
    <w:nsid w:val="527753D2"/>
    <w:multiLevelType w:val="multilevel"/>
    <w:tmpl w:val="C3C25B26"/>
    <w:styleLink w:val="WWNum9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5" w15:restartNumberingAfterBreak="0">
    <w:nsid w:val="56D03B57"/>
    <w:multiLevelType w:val="multilevel"/>
    <w:tmpl w:val="4B3CA1B8"/>
    <w:styleLink w:val="WWNum1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6" w15:restartNumberingAfterBreak="0">
    <w:nsid w:val="56D20201"/>
    <w:multiLevelType w:val="multilevel"/>
    <w:tmpl w:val="16D67B04"/>
    <w:styleLink w:val="WWNum3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575B7585"/>
    <w:multiLevelType w:val="hybridMultilevel"/>
    <w:tmpl w:val="6EFE932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94C0CDF"/>
    <w:multiLevelType w:val="hybridMultilevel"/>
    <w:tmpl w:val="6EFE932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C591234"/>
    <w:multiLevelType w:val="multilevel"/>
    <w:tmpl w:val="1010B844"/>
    <w:styleLink w:val="WWNum13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0" w15:restartNumberingAfterBreak="0">
    <w:nsid w:val="60817674"/>
    <w:multiLevelType w:val="multilevel"/>
    <w:tmpl w:val="17240108"/>
    <w:styleLink w:val="WWNum29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1" w15:restartNumberingAfterBreak="0">
    <w:nsid w:val="63F16C90"/>
    <w:multiLevelType w:val="multilevel"/>
    <w:tmpl w:val="318E629A"/>
    <w:styleLink w:val="WWNum5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2" w15:restartNumberingAfterBreak="0">
    <w:nsid w:val="66592685"/>
    <w:multiLevelType w:val="multilevel"/>
    <w:tmpl w:val="EDD82618"/>
    <w:styleLink w:val="WWNum4"/>
    <w:lvl w:ilvl="0">
      <w:start w:val="1"/>
      <w:numFmt w:val="decimal"/>
      <w:lvlText w:val="4.%1"/>
      <w:lvlJc w:val="left"/>
      <w:pPr>
        <w:ind w:left="360" w:hanging="360"/>
      </w:pPr>
      <w:rPr>
        <w:rFonts w:cs="Times New Roman"/>
        <w:b w:val="0"/>
        <w:i w:val="0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672D6EA1"/>
    <w:multiLevelType w:val="multilevel"/>
    <w:tmpl w:val="BE3A5C90"/>
    <w:styleLink w:val="WWNum2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4" w15:restartNumberingAfterBreak="0">
    <w:nsid w:val="6F3E5B2B"/>
    <w:multiLevelType w:val="multilevel"/>
    <w:tmpl w:val="7876C86E"/>
    <w:styleLink w:val="WWNum3"/>
    <w:lvl w:ilvl="0">
      <w:start w:val="1"/>
      <w:numFmt w:val="decimal"/>
      <w:lvlText w:val="%1."/>
      <w:lvlJc w:val="left"/>
      <w:pPr>
        <w:ind w:left="357" w:hanging="357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6F892555"/>
    <w:multiLevelType w:val="hybridMultilevel"/>
    <w:tmpl w:val="6EFE932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2C12132"/>
    <w:multiLevelType w:val="hybridMultilevel"/>
    <w:tmpl w:val="6EFE932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2FF74AD"/>
    <w:multiLevelType w:val="multilevel"/>
    <w:tmpl w:val="C6F41D3A"/>
    <w:styleLink w:val="WWNum3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8" w15:restartNumberingAfterBreak="0">
    <w:nsid w:val="7305545D"/>
    <w:multiLevelType w:val="hybridMultilevel"/>
    <w:tmpl w:val="6EFE932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4BB0BC9"/>
    <w:multiLevelType w:val="multilevel"/>
    <w:tmpl w:val="89E6D57A"/>
    <w:styleLink w:val="WWNum19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0" w15:restartNumberingAfterBreak="0">
    <w:nsid w:val="75EE0F16"/>
    <w:multiLevelType w:val="multilevel"/>
    <w:tmpl w:val="1C0A16F6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lvlText w:val="%2."/>
      <w:lvlJc w:val="left"/>
      <w:pPr>
        <w:ind w:left="1430" w:hanging="360"/>
      </w:pPr>
    </w:lvl>
    <w:lvl w:ilvl="2">
      <w:start w:val="1"/>
      <w:numFmt w:val="decimal"/>
      <w:lvlText w:val="%3."/>
      <w:lvlJc w:val="left"/>
      <w:pPr>
        <w:ind w:left="1790" w:hanging="360"/>
      </w:pPr>
    </w:lvl>
    <w:lvl w:ilvl="3">
      <w:start w:val="1"/>
      <w:numFmt w:val="decimal"/>
      <w:lvlText w:val="%4."/>
      <w:lvlJc w:val="left"/>
      <w:pPr>
        <w:ind w:left="2150" w:hanging="360"/>
      </w:pPr>
    </w:lvl>
    <w:lvl w:ilvl="4">
      <w:start w:val="1"/>
      <w:numFmt w:val="decimal"/>
      <w:lvlText w:val="%5."/>
      <w:lvlJc w:val="left"/>
      <w:pPr>
        <w:ind w:left="2510" w:hanging="360"/>
      </w:pPr>
    </w:lvl>
    <w:lvl w:ilvl="5">
      <w:start w:val="1"/>
      <w:numFmt w:val="decimal"/>
      <w:lvlText w:val="%6."/>
      <w:lvlJc w:val="left"/>
      <w:pPr>
        <w:ind w:left="2870" w:hanging="360"/>
      </w:pPr>
    </w:lvl>
    <w:lvl w:ilvl="6">
      <w:start w:val="1"/>
      <w:numFmt w:val="decimal"/>
      <w:lvlText w:val="%7."/>
      <w:lvlJc w:val="left"/>
      <w:pPr>
        <w:ind w:left="3230" w:hanging="360"/>
      </w:pPr>
    </w:lvl>
    <w:lvl w:ilvl="7">
      <w:start w:val="1"/>
      <w:numFmt w:val="decimal"/>
      <w:lvlText w:val="%8."/>
      <w:lvlJc w:val="left"/>
      <w:pPr>
        <w:ind w:left="3590" w:hanging="360"/>
      </w:pPr>
    </w:lvl>
    <w:lvl w:ilvl="8">
      <w:start w:val="1"/>
      <w:numFmt w:val="decimal"/>
      <w:lvlText w:val="%9."/>
      <w:lvlJc w:val="left"/>
      <w:pPr>
        <w:ind w:left="3950" w:hanging="360"/>
      </w:pPr>
    </w:lvl>
  </w:abstractNum>
  <w:abstractNum w:abstractNumId="51" w15:restartNumberingAfterBreak="0">
    <w:nsid w:val="78A46E36"/>
    <w:multiLevelType w:val="multilevel"/>
    <w:tmpl w:val="D6D893B8"/>
    <w:styleLink w:val="WWNum1"/>
    <w:lvl w:ilvl="0">
      <w:start w:val="1"/>
      <w:numFmt w:val="decimal"/>
      <w:lvlText w:val="%1."/>
      <w:lvlJc w:val="left"/>
      <w:pPr>
        <w:ind w:left="714" w:hanging="360"/>
      </w:pPr>
      <w:rPr>
        <w:rFonts w:cs="Times New Roman"/>
        <w:b/>
        <w:i w:val="0"/>
        <w:caps w:val="0"/>
        <w:smallCaps w:val="0"/>
        <w:dstrike/>
        <w:vanish w:val="0"/>
        <w:position w:val="0"/>
        <w:sz w:val="28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52" w15:restartNumberingAfterBreak="0">
    <w:nsid w:val="7C285099"/>
    <w:multiLevelType w:val="multilevel"/>
    <w:tmpl w:val="79D45568"/>
    <w:styleLink w:val="WWNum1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3" w15:restartNumberingAfterBreak="0">
    <w:nsid w:val="7FEA070D"/>
    <w:multiLevelType w:val="multilevel"/>
    <w:tmpl w:val="431CF31E"/>
    <w:styleLink w:val="WWOutlineListStyle"/>
    <w:lvl w:ilvl="0">
      <w:start w:val="1"/>
      <w:numFmt w:val="none"/>
      <w:lvlText w:val="%1"/>
      <w:lvlJc w:val="left"/>
    </w:lvl>
    <w:lvl w:ilvl="1">
      <w:start w:val="1"/>
      <w:numFmt w:val="decimal"/>
      <w:lvlText w:val="4.%2"/>
      <w:lvlJc w:val="left"/>
      <w:pPr>
        <w:ind w:left="360" w:hanging="360"/>
      </w:pPr>
      <w:rPr>
        <w:rFonts w:cs="Times New Roman"/>
        <w:b w:val="0"/>
        <w:i w:val="0"/>
        <w:sz w:val="28"/>
      </w:rPr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>
    <w:abstractNumId w:val="53"/>
  </w:num>
  <w:num w:numId="2">
    <w:abstractNumId w:val="19"/>
  </w:num>
  <w:num w:numId="3">
    <w:abstractNumId w:val="51"/>
  </w:num>
  <w:num w:numId="4">
    <w:abstractNumId w:val="24"/>
  </w:num>
  <w:num w:numId="5">
    <w:abstractNumId w:val="44"/>
  </w:num>
  <w:num w:numId="6">
    <w:abstractNumId w:val="42"/>
  </w:num>
  <w:num w:numId="7">
    <w:abstractNumId w:val="41"/>
  </w:num>
  <w:num w:numId="8">
    <w:abstractNumId w:val="0"/>
  </w:num>
  <w:num w:numId="9">
    <w:abstractNumId w:val="7"/>
  </w:num>
  <w:num w:numId="10">
    <w:abstractNumId w:val="4"/>
  </w:num>
  <w:num w:numId="11">
    <w:abstractNumId w:val="34"/>
  </w:num>
  <w:num w:numId="12">
    <w:abstractNumId w:val="10"/>
  </w:num>
  <w:num w:numId="13">
    <w:abstractNumId w:val="25"/>
  </w:num>
  <w:num w:numId="14">
    <w:abstractNumId w:val="6"/>
  </w:num>
  <w:num w:numId="15">
    <w:abstractNumId w:val="39"/>
  </w:num>
  <w:num w:numId="16">
    <w:abstractNumId w:val="33"/>
  </w:num>
  <w:num w:numId="17">
    <w:abstractNumId w:val="28"/>
  </w:num>
  <w:num w:numId="18">
    <w:abstractNumId w:val="35"/>
  </w:num>
  <w:num w:numId="19">
    <w:abstractNumId w:val="32"/>
  </w:num>
  <w:num w:numId="20">
    <w:abstractNumId w:val="52"/>
  </w:num>
  <w:num w:numId="21">
    <w:abstractNumId w:val="49"/>
  </w:num>
  <w:num w:numId="22">
    <w:abstractNumId w:val="18"/>
  </w:num>
  <w:num w:numId="23">
    <w:abstractNumId w:val="29"/>
  </w:num>
  <w:num w:numId="24">
    <w:abstractNumId w:val="26"/>
  </w:num>
  <w:num w:numId="25">
    <w:abstractNumId w:val="2"/>
  </w:num>
  <w:num w:numId="26">
    <w:abstractNumId w:val="43"/>
  </w:num>
  <w:num w:numId="27">
    <w:abstractNumId w:val="20"/>
  </w:num>
  <w:num w:numId="28">
    <w:abstractNumId w:val="3"/>
  </w:num>
  <w:num w:numId="29">
    <w:abstractNumId w:val="13"/>
  </w:num>
  <w:num w:numId="30">
    <w:abstractNumId w:val="5"/>
  </w:num>
  <w:num w:numId="31">
    <w:abstractNumId w:val="40"/>
  </w:num>
  <w:num w:numId="32">
    <w:abstractNumId w:val="47"/>
  </w:num>
  <w:num w:numId="33">
    <w:abstractNumId w:val="36"/>
  </w:num>
  <w:num w:numId="34">
    <w:abstractNumId w:val="15"/>
  </w:num>
  <w:num w:numId="35">
    <w:abstractNumId w:val="50"/>
  </w:num>
  <w:num w:numId="36">
    <w:abstractNumId w:val="8"/>
  </w:num>
  <w:num w:numId="37">
    <w:abstractNumId w:val="11"/>
  </w:num>
  <w:num w:numId="38">
    <w:abstractNumId w:val="38"/>
  </w:num>
  <w:num w:numId="39">
    <w:abstractNumId w:val="37"/>
  </w:num>
  <w:num w:numId="40">
    <w:abstractNumId w:val="48"/>
  </w:num>
  <w:num w:numId="41">
    <w:abstractNumId w:val="46"/>
  </w:num>
  <w:num w:numId="42">
    <w:abstractNumId w:val="27"/>
  </w:num>
  <w:num w:numId="43">
    <w:abstractNumId w:val="23"/>
  </w:num>
  <w:num w:numId="44">
    <w:abstractNumId w:val="30"/>
  </w:num>
  <w:num w:numId="45">
    <w:abstractNumId w:val="1"/>
  </w:num>
  <w:num w:numId="46">
    <w:abstractNumId w:val="12"/>
  </w:num>
  <w:num w:numId="47">
    <w:abstractNumId w:val="9"/>
  </w:num>
  <w:num w:numId="48">
    <w:abstractNumId w:val="21"/>
  </w:num>
  <w:num w:numId="49">
    <w:abstractNumId w:val="22"/>
  </w:num>
  <w:num w:numId="50">
    <w:abstractNumId w:val="16"/>
  </w:num>
  <w:num w:numId="51">
    <w:abstractNumId w:val="31"/>
  </w:num>
  <w:num w:numId="52">
    <w:abstractNumId w:val="45"/>
  </w:num>
  <w:num w:numId="53">
    <w:abstractNumId w:val="17"/>
  </w:num>
  <w:num w:numId="54">
    <w:abstractNumId w:val="14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2B1C"/>
    <w:rsid w:val="00013EBB"/>
    <w:rsid w:val="00013F93"/>
    <w:rsid w:val="00040897"/>
    <w:rsid w:val="0008096C"/>
    <w:rsid w:val="00080E6B"/>
    <w:rsid w:val="000832D7"/>
    <w:rsid w:val="000A63DD"/>
    <w:rsid w:val="000C05B5"/>
    <w:rsid w:val="000C44FD"/>
    <w:rsid w:val="000C57C6"/>
    <w:rsid w:val="000F617E"/>
    <w:rsid w:val="000F7A44"/>
    <w:rsid w:val="001109A5"/>
    <w:rsid w:val="001635CD"/>
    <w:rsid w:val="001732BE"/>
    <w:rsid w:val="001A0E21"/>
    <w:rsid w:val="001A2FD5"/>
    <w:rsid w:val="001B2593"/>
    <w:rsid w:val="001B78B8"/>
    <w:rsid w:val="001C3B7C"/>
    <w:rsid w:val="001E1A96"/>
    <w:rsid w:val="002063D5"/>
    <w:rsid w:val="0022318C"/>
    <w:rsid w:val="002235BE"/>
    <w:rsid w:val="002306DD"/>
    <w:rsid w:val="00273CE5"/>
    <w:rsid w:val="002862A0"/>
    <w:rsid w:val="002904CD"/>
    <w:rsid w:val="00294D27"/>
    <w:rsid w:val="002B2B5E"/>
    <w:rsid w:val="002C633E"/>
    <w:rsid w:val="002C6843"/>
    <w:rsid w:val="002C793F"/>
    <w:rsid w:val="002D5D29"/>
    <w:rsid w:val="002D707C"/>
    <w:rsid w:val="002D7795"/>
    <w:rsid w:val="002F13C0"/>
    <w:rsid w:val="002F2855"/>
    <w:rsid w:val="00300626"/>
    <w:rsid w:val="00315F74"/>
    <w:rsid w:val="00340FA4"/>
    <w:rsid w:val="00361E40"/>
    <w:rsid w:val="00384418"/>
    <w:rsid w:val="00397A82"/>
    <w:rsid w:val="003B21B2"/>
    <w:rsid w:val="003D6E9A"/>
    <w:rsid w:val="003E4FB2"/>
    <w:rsid w:val="00403E9B"/>
    <w:rsid w:val="004046E2"/>
    <w:rsid w:val="00420A4B"/>
    <w:rsid w:val="00424C3F"/>
    <w:rsid w:val="00484950"/>
    <w:rsid w:val="00486099"/>
    <w:rsid w:val="0049701B"/>
    <w:rsid w:val="004D0AA4"/>
    <w:rsid w:val="004D4453"/>
    <w:rsid w:val="004D7F71"/>
    <w:rsid w:val="004E2C42"/>
    <w:rsid w:val="0050078A"/>
    <w:rsid w:val="00507FFB"/>
    <w:rsid w:val="00515D4A"/>
    <w:rsid w:val="00517EC0"/>
    <w:rsid w:val="00555328"/>
    <w:rsid w:val="005613E2"/>
    <w:rsid w:val="005719BD"/>
    <w:rsid w:val="0057426F"/>
    <w:rsid w:val="005D1278"/>
    <w:rsid w:val="005D56C1"/>
    <w:rsid w:val="00605E52"/>
    <w:rsid w:val="00647B7C"/>
    <w:rsid w:val="00660D64"/>
    <w:rsid w:val="00666BC6"/>
    <w:rsid w:val="00670921"/>
    <w:rsid w:val="0069077E"/>
    <w:rsid w:val="006C526A"/>
    <w:rsid w:val="006F5F3A"/>
    <w:rsid w:val="00707455"/>
    <w:rsid w:val="00716F5D"/>
    <w:rsid w:val="00726E21"/>
    <w:rsid w:val="0073614D"/>
    <w:rsid w:val="00753C00"/>
    <w:rsid w:val="00754B2C"/>
    <w:rsid w:val="00777080"/>
    <w:rsid w:val="007A404B"/>
    <w:rsid w:val="007A6FCD"/>
    <w:rsid w:val="007B062C"/>
    <w:rsid w:val="007B3324"/>
    <w:rsid w:val="007B6C8C"/>
    <w:rsid w:val="007B78E0"/>
    <w:rsid w:val="007C758A"/>
    <w:rsid w:val="007E21AF"/>
    <w:rsid w:val="007F786C"/>
    <w:rsid w:val="00800AA8"/>
    <w:rsid w:val="00807EB9"/>
    <w:rsid w:val="00816B6F"/>
    <w:rsid w:val="0083428E"/>
    <w:rsid w:val="008346E0"/>
    <w:rsid w:val="008365CE"/>
    <w:rsid w:val="00850403"/>
    <w:rsid w:val="0085092A"/>
    <w:rsid w:val="0085201D"/>
    <w:rsid w:val="008814B0"/>
    <w:rsid w:val="00884371"/>
    <w:rsid w:val="008A2B1C"/>
    <w:rsid w:val="008C2670"/>
    <w:rsid w:val="008C5DAB"/>
    <w:rsid w:val="008D435E"/>
    <w:rsid w:val="008E4DCC"/>
    <w:rsid w:val="00903AC8"/>
    <w:rsid w:val="009071FC"/>
    <w:rsid w:val="00926791"/>
    <w:rsid w:val="00947B20"/>
    <w:rsid w:val="00952490"/>
    <w:rsid w:val="00953BBB"/>
    <w:rsid w:val="00960B3C"/>
    <w:rsid w:val="00961BFA"/>
    <w:rsid w:val="00966516"/>
    <w:rsid w:val="00971199"/>
    <w:rsid w:val="00972160"/>
    <w:rsid w:val="009820A8"/>
    <w:rsid w:val="009C58DB"/>
    <w:rsid w:val="009D1E69"/>
    <w:rsid w:val="009D383B"/>
    <w:rsid w:val="009D52E5"/>
    <w:rsid w:val="00A21744"/>
    <w:rsid w:val="00A268B9"/>
    <w:rsid w:val="00A26C32"/>
    <w:rsid w:val="00A536DD"/>
    <w:rsid w:val="00A549A1"/>
    <w:rsid w:val="00A67068"/>
    <w:rsid w:val="00A736A8"/>
    <w:rsid w:val="00A73E3B"/>
    <w:rsid w:val="00A90965"/>
    <w:rsid w:val="00AB669C"/>
    <w:rsid w:val="00AC1A33"/>
    <w:rsid w:val="00AC26B2"/>
    <w:rsid w:val="00AD4D10"/>
    <w:rsid w:val="00B13A3F"/>
    <w:rsid w:val="00B21110"/>
    <w:rsid w:val="00B35ABF"/>
    <w:rsid w:val="00B46127"/>
    <w:rsid w:val="00B6354A"/>
    <w:rsid w:val="00B7667B"/>
    <w:rsid w:val="00B77988"/>
    <w:rsid w:val="00BA4ACE"/>
    <w:rsid w:val="00BA5B39"/>
    <w:rsid w:val="00BC73E1"/>
    <w:rsid w:val="00BF2CE0"/>
    <w:rsid w:val="00C0703E"/>
    <w:rsid w:val="00C32EAE"/>
    <w:rsid w:val="00C3625F"/>
    <w:rsid w:val="00C37886"/>
    <w:rsid w:val="00C40ACB"/>
    <w:rsid w:val="00C5576A"/>
    <w:rsid w:val="00C82B4F"/>
    <w:rsid w:val="00CA67E5"/>
    <w:rsid w:val="00CB68D6"/>
    <w:rsid w:val="00CC49A4"/>
    <w:rsid w:val="00CC695E"/>
    <w:rsid w:val="00CE08DA"/>
    <w:rsid w:val="00CE27DD"/>
    <w:rsid w:val="00CF1AEE"/>
    <w:rsid w:val="00CF546C"/>
    <w:rsid w:val="00D00861"/>
    <w:rsid w:val="00D15CA3"/>
    <w:rsid w:val="00D23620"/>
    <w:rsid w:val="00D424F5"/>
    <w:rsid w:val="00D713DD"/>
    <w:rsid w:val="00D71C60"/>
    <w:rsid w:val="00D7226E"/>
    <w:rsid w:val="00D9491A"/>
    <w:rsid w:val="00D97F53"/>
    <w:rsid w:val="00DA5816"/>
    <w:rsid w:val="00DB09CA"/>
    <w:rsid w:val="00DC2D09"/>
    <w:rsid w:val="00DC30A1"/>
    <w:rsid w:val="00DD48BF"/>
    <w:rsid w:val="00E05773"/>
    <w:rsid w:val="00E118C0"/>
    <w:rsid w:val="00E431D3"/>
    <w:rsid w:val="00E44A09"/>
    <w:rsid w:val="00E70839"/>
    <w:rsid w:val="00E85FF6"/>
    <w:rsid w:val="00E944BE"/>
    <w:rsid w:val="00E96B79"/>
    <w:rsid w:val="00EA384E"/>
    <w:rsid w:val="00EB456F"/>
    <w:rsid w:val="00EC05B6"/>
    <w:rsid w:val="00EC0A84"/>
    <w:rsid w:val="00EC2E90"/>
    <w:rsid w:val="00EC6ADC"/>
    <w:rsid w:val="00ED2D64"/>
    <w:rsid w:val="00EE0A48"/>
    <w:rsid w:val="00EE53F9"/>
    <w:rsid w:val="00F00441"/>
    <w:rsid w:val="00F64216"/>
    <w:rsid w:val="00F70556"/>
    <w:rsid w:val="00F75D88"/>
    <w:rsid w:val="00FA273D"/>
    <w:rsid w:val="00FB05FD"/>
    <w:rsid w:val="00FB317F"/>
    <w:rsid w:val="00FD130B"/>
    <w:rsid w:val="00FD4C88"/>
    <w:rsid w:val="00FD63C4"/>
    <w:rsid w:val="00FD6FC9"/>
    <w:rsid w:val="00FE3DDA"/>
    <w:rsid w:val="00FE3F5A"/>
    <w:rsid w:val="00FF2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FFD5B5C-6DDC-4888-B832-A662436DF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kern w:val="3"/>
        <w:sz w:val="22"/>
        <w:szCs w:val="22"/>
        <w:lang w:val="cs-CZ" w:eastAsia="cs-CZ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aliases w:val="Nadpis 0"/>
    <w:next w:val="Textbody"/>
    <w:link w:val="Nadpis1Char"/>
    <w:uiPriority w:val="99"/>
    <w:qFormat/>
    <w:rsid w:val="00C82B4F"/>
    <w:pPr>
      <w:keepNext/>
      <w:keepLines/>
      <w:tabs>
        <w:tab w:val="left" w:pos="714"/>
      </w:tabs>
      <w:suppressAutoHyphens/>
      <w:spacing w:before="240" w:after="240"/>
      <w:ind w:left="357" w:hanging="357"/>
      <w:outlineLvl w:val="0"/>
    </w:pPr>
    <w:rPr>
      <w:rFonts w:ascii="Times New Roman" w:hAnsi="Times New Roman"/>
      <w:b/>
      <w:color w:val="000000"/>
      <w:sz w:val="28"/>
      <w:szCs w:val="32"/>
    </w:rPr>
  </w:style>
  <w:style w:type="paragraph" w:styleId="Nadpis2">
    <w:name w:val="heading 2"/>
    <w:aliases w:val="Nadpis 01"/>
    <w:basedOn w:val="Standard"/>
    <w:next w:val="Textbody"/>
    <w:link w:val="Nadpis2Char"/>
    <w:unhideWhenUsed/>
    <w:qFormat/>
    <w:pPr>
      <w:keepNext/>
      <w:keepLines/>
      <w:tabs>
        <w:tab w:val="left" w:pos="94"/>
      </w:tabs>
      <w:spacing w:before="120" w:after="120"/>
      <w:outlineLvl w:val="1"/>
    </w:pPr>
    <w:rPr>
      <w:color w:val="000000"/>
      <w:sz w:val="28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numbering" w:customStyle="1" w:styleId="WWOutlineListStyle">
    <w:name w:val="WW_OutlineListStyle"/>
    <w:basedOn w:val="Bezseznamu"/>
    <w:pPr>
      <w:numPr>
        <w:numId w:val="1"/>
      </w:numPr>
    </w:pPr>
  </w:style>
  <w:style w:type="character" w:customStyle="1" w:styleId="ZhlavChar">
    <w:name w:val="Záhlaví Char"/>
    <w:basedOn w:val="Standardnpsmoodstavce"/>
    <w:link w:val="Zhlav"/>
    <w:uiPriority w:val="99"/>
    <w:rsid w:val="00A90965"/>
    <w:rPr>
      <w:sz w:val="20"/>
      <w:szCs w:val="20"/>
    </w:rPr>
  </w:style>
  <w:style w:type="paragraph" w:customStyle="1" w:styleId="Standard">
    <w:name w:val="Standard"/>
    <w:pPr>
      <w:suppressAutoHyphens/>
      <w:jc w:val="both"/>
    </w:pPr>
    <w:rPr>
      <w:rFonts w:ascii="Times New Roman" w:hAnsi="Times New Roman"/>
      <w:sz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  <w:rPr>
      <w:rFonts w:cs="Mangal"/>
    </w:rPr>
  </w:style>
  <w:style w:type="paragraph" w:styleId="Titulek">
    <w:name w:val="caption"/>
    <w:basedOn w:val="Standard"/>
    <w:pPr>
      <w:widowControl/>
      <w:suppressAutoHyphens w:val="0"/>
      <w:overflowPunct w:val="0"/>
      <w:spacing w:after="200"/>
    </w:pPr>
    <w:rPr>
      <w:rFonts w:ascii="Arial" w:hAnsi="Arial"/>
      <w:b/>
      <w:bCs/>
      <w:color w:val="4472C4"/>
      <w:sz w:val="18"/>
      <w:szCs w:val="18"/>
      <w:lang w:val="en-GB" w:eastAsia="fr-FR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Zhlav">
    <w:name w:val="header"/>
    <w:basedOn w:val="Standard"/>
    <w:link w:val="ZhlavChar"/>
    <w:uiPriority w:val="99"/>
    <w:pPr>
      <w:suppressLineNumbers/>
      <w:tabs>
        <w:tab w:val="center" w:pos="4536"/>
        <w:tab w:val="right" w:pos="9072"/>
      </w:tabs>
    </w:pPr>
    <w:rPr>
      <w:rFonts w:ascii="Calibri" w:hAnsi="Calibri"/>
      <w:sz w:val="20"/>
      <w:szCs w:val="20"/>
    </w:rPr>
  </w:style>
  <w:style w:type="paragraph" w:styleId="Zpat">
    <w:name w:val="footer"/>
    <w:basedOn w:val="Standard"/>
    <w:link w:val="ZpatChar"/>
    <w:uiPriority w:val="99"/>
    <w:pPr>
      <w:suppressLineNumbers/>
      <w:tabs>
        <w:tab w:val="center" w:pos="4536"/>
        <w:tab w:val="right" w:pos="9072"/>
      </w:tabs>
    </w:pPr>
    <w:rPr>
      <w:rFonts w:ascii="Calibri" w:hAnsi="Calibri"/>
      <w:sz w:val="20"/>
      <w:szCs w:val="20"/>
    </w:rPr>
  </w:style>
  <w:style w:type="paragraph" w:styleId="Odstavecseseznamem">
    <w:name w:val="List Paragraph"/>
    <w:basedOn w:val="Standard"/>
    <w:uiPriority w:val="99"/>
    <w:qFormat/>
    <w:pPr>
      <w:ind w:left="720"/>
    </w:pPr>
  </w:style>
  <w:style w:type="paragraph" w:customStyle="1" w:styleId="ContentsHeading">
    <w:name w:val="Contents Heading"/>
    <w:basedOn w:val="Nadpis1"/>
    <w:pPr>
      <w:suppressLineNumbers/>
      <w:spacing w:before="0" w:after="0"/>
      <w:ind w:left="714"/>
    </w:pPr>
    <w:rPr>
      <w:b w:val="0"/>
      <w:bCs/>
      <w:sz w:val="32"/>
    </w:rPr>
  </w:style>
  <w:style w:type="paragraph" w:customStyle="1" w:styleId="Contents1">
    <w:name w:val="Contents 1"/>
    <w:basedOn w:val="Standard"/>
    <w:pPr>
      <w:tabs>
        <w:tab w:val="left" w:pos="284"/>
        <w:tab w:val="right" w:leader="dot" w:pos="9062"/>
      </w:tabs>
    </w:pPr>
  </w:style>
  <w:style w:type="paragraph" w:customStyle="1" w:styleId="Contents2">
    <w:name w:val="Contents 2"/>
    <w:basedOn w:val="Standard"/>
    <w:pPr>
      <w:tabs>
        <w:tab w:val="right" w:leader="dot" w:pos="9345"/>
      </w:tabs>
      <w:ind w:left="283"/>
    </w:pPr>
    <w:rPr>
      <w:b/>
      <w:u w:val="single"/>
    </w:rPr>
  </w:style>
  <w:style w:type="paragraph" w:styleId="Textbubliny">
    <w:name w:val="Balloon Text"/>
    <w:basedOn w:val="Standard"/>
    <w:rPr>
      <w:rFonts w:ascii="Segoe UI" w:hAnsi="Segoe UI"/>
      <w:sz w:val="18"/>
      <w:szCs w:val="20"/>
    </w:rPr>
  </w:style>
  <w:style w:type="paragraph" w:styleId="Textvysvtlivek">
    <w:name w:val="endnote text"/>
    <w:basedOn w:val="Standard"/>
    <w:rPr>
      <w:rFonts w:ascii="Calibri" w:hAnsi="Calibri"/>
      <w:sz w:val="20"/>
      <w:szCs w:val="20"/>
    </w:rPr>
  </w:style>
  <w:style w:type="paragraph" w:styleId="Textpoznpodarou">
    <w:name w:val="footnote text"/>
    <w:basedOn w:val="Standard"/>
    <w:rPr>
      <w:rFonts w:ascii="Calibri" w:hAnsi="Calibri"/>
      <w:sz w:val="20"/>
      <w:szCs w:val="20"/>
    </w:rPr>
  </w:style>
  <w:style w:type="paragraph" w:styleId="Bezmezer">
    <w:name w:val="No Spacing"/>
    <w:pPr>
      <w:suppressAutoHyphens/>
    </w:pPr>
  </w:style>
  <w:style w:type="paragraph" w:styleId="Normlnweb">
    <w:name w:val="Normal (Web)"/>
    <w:basedOn w:val="Standard"/>
    <w:pPr>
      <w:widowControl/>
      <w:suppressAutoHyphens w:val="0"/>
      <w:overflowPunct w:val="0"/>
      <w:spacing w:before="28" w:after="100"/>
    </w:pPr>
    <w:rPr>
      <w:szCs w:val="24"/>
    </w:rPr>
  </w:style>
  <w:style w:type="character" w:customStyle="1" w:styleId="Heading1Char">
    <w:name w:val="Heading 1 Char"/>
    <w:basedOn w:val="Standardnpsmoodstavce"/>
    <w:rPr>
      <w:rFonts w:cs="Times New Roman"/>
      <w:b/>
      <w:bCs/>
      <w:color w:val="000000"/>
      <w:sz w:val="32"/>
      <w:szCs w:val="32"/>
      <w:lang w:val="cs-CZ" w:eastAsia="fr-FR" w:bidi="ar-SA"/>
    </w:rPr>
  </w:style>
  <w:style w:type="character" w:customStyle="1" w:styleId="Heading2Char">
    <w:name w:val="Heading 2 Char"/>
    <w:basedOn w:val="Standardnpsmoodstavce"/>
    <w:rPr>
      <w:rFonts w:cs="Times New Roman"/>
      <w:color w:val="000000"/>
      <w:kern w:val="3"/>
      <w:sz w:val="26"/>
      <w:szCs w:val="26"/>
      <w:lang w:val="cs-CZ" w:eastAsia="cs-CZ" w:bidi="ar-SA"/>
    </w:rPr>
  </w:style>
  <w:style w:type="character" w:customStyle="1" w:styleId="Internetlink">
    <w:name w:val="Internet link"/>
    <w:basedOn w:val="Standardnpsmoodstavce"/>
    <w:rPr>
      <w:rFonts w:cs="Times New Roman"/>
      <w:color w:val="0000FF"/>
      <w:u w:val="single"/>
    </w:rPr>
  </w:style>
  <w:style w:type="character" w:customStyle="1" w:styleId="HeaderChar">
    <w:name w:val="Header Char"/>
    <w:basedOn w:val="Standardnpsmoodstavce"/>
    <w:rPr>
      <w:rFonts w:cs="Times New Roman"/>
    </w:rPr>
  </w:style>
  <w:style w:type="character" w:customStyle="1" w:styleId="FooterChar">
    <w:name w:val="Footer Char"/>
    <w:basedOn w:val="Standardnpsmoodstavce"/>
    <w:rPr>
      <w:rFonts w:cs="Times New Roman"/>
    </w:rPr>
  </w:style>
  <w:style w:type="character" w:styleId="Zdraznn">
    <w:name w:val="Emphasis"/>
    <w:basedOn w:val="Standardnpsmoodstavce"/>
    <w:rPr>
      <w:rFonts w:cs="Times New Roman"/>
      <w:i/>
      <w:iCs/>
    </w:rPr>
  </w:style>
  <w:style w:type="character" w:customStyle="1" w:styleId="BalloonTextChar">
    <w:name w:val="Balloon Text Char"/>
    <w:basedOn w:val="Standardnpsmoodstavce"/>
    <w:rPr>
      <w:rFonts w:ascii="Segoe UI" w:hAnsi="Segoe UI" w:cs="Times New Roman"/>
      <w:sz w:val="18"/>
    </w:rPr>
  </w:style>
  <w:style w:type="character" w:customStyle="1" w:styleId="EndnoteTextChar">
    <w:name w:val="Endnote Text Char"/>
    <w:basedOn w:val="Standardnpsmoodstavce"/>
    <w:rPr>
      <w:rFonts w:cs="Times New Roman"/>
      <w:sz w:val="20"/>
    </w:rPr>
  </w:style>
  <w:style w:type="character" w:styleId="Odkaznavysvtlivky">
    <w:name w:val="endnote reference"/>
    <w:basedOn w:val="Standardnpsmoodstavce"/>
    <w:rPr>
      <w:rFonts w:cs="Times New Roman"/>
      <w:position w:val="0"/>
      <w:vertAlign w:val="superscript"/>
    </w:rPr>
  </w:style>
  <w:style w:type="character" w:customStyle="1" w:styleId="FootnoteTextChar">
    <w:name w:val="Footnote Text Char"/>
    <w:basedOn w:val="Standardnpsmoodstavce"/>
    <w:rPr>
      <w:rFonts w:cs="Times New Roman"/>
      <w:sz w:val="20"/>
    </w:rPr>
  </w:style>
  <w:style w:type="character" w:styleId="Znakapoznpodarou">
    <w:name w:val="footnote reference"/>
    <w:basedOn w:val="Standardnpsmoodstavce"/>
    <w:rPr>
      <w:rFonts w:cs="Times New Roman"/>
      <w:position w:val="0"/>
      <w:vertAlign w:val="superscript"/>
    </w:rPr>
  </w:style>
  <w:style w:type="character" w:styleId="Sledovanodkaz">
    <w:name w:val="FollowedHyperlink"/>
    <w:basedOn w:val="Standardnpsmoodstavce"/>
    <w:rPr>
      <w:rFonts w:cs="Times New Roman"/>
      <w:color w:val="954F72"/>
      <w:u w:val="single"/>
    </w:rPr>
  </w:style>
  <w:style w:type="character" w:styleId="slostrnky">
    <w:name w:val="page number"/>
    <w:basedOn w:val="Standardnpsmoodstavce"/>
    <w:rPr>
      <w:rFonts w:cs="Times New Roman"/>
    </w:rPr>
  </w:style>
  <w:style w:type="character" w:customStyle="1" w:styleId="Nevyeenzmnka1">
    <w:name w:val="Nevyřešená zmínka1"/>
    <w:rPr>
      <w:color w:val="605E5C"/>
    </w:rPr>
  </w:style>
  <w:style w:type="character" w:styleId="Nevyeenzmnka">
    <w:name w:val="Unresolved Mention"/>
    <w:rPr>
      <w:color w:val="605E5C"/>
    </w:rPr>
  </w:style>
  <w:style w:type="character" w:customStyle="1" w:styleId="StrongEmphasis">
    <w:name w:val="Strong Emphasis"/>
    <w:basedOn w:val="Standardnpsmoodstavce"/>
    <w:rPr>
      <w:rFonts w:cs="Times New Roman"/>
      <w:b/>
      <w:bCs/>
    </w:rPr>
  </w:style>
  <w:style w:type="character" w:customStyle="1" w:styleId="ListLabel1">
    <w:name w:val="ListLabel 1"/>
    <w:rPr>
      <w:rFonts w:cs="Times New Roman"/>
      <w:b/>
      <w:i w:val="0"/>
      <w:caps w:val="0"/>
      <w:smallCaps w:val="0"/>
      <w:dstrike/>
      <w:vanish w:val="0"/>
      <w:position w:val="0"/>
      <w:sz w:val="28"/>
      <w:vertAlign w:val="baseline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  <w:b/>
      <w:sz w:val="24"/>
    </w:rPr>
  </w:style>
  <w:style w:type="character" w:customStyle="1" w:styleId="ListLabel4">
    <w:name w:val="ListLabel 4"/>
    <w:rPr>
      <w:rFonts w:cs="Times New Roman"/>
      <w:b w:val="0"/>
      <w:i w:val="0"/>
      <w:sz w:val="28"/>
    </w:rPr>
  </w:style>
  <w:style w:type="character" w:customStyle="1" w:styleId="EndnoteSymbol">
    <w:name w:val="Endnote Symbol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character" w:customStyle="1" w:styleId="Nadpis1Char">
    <w:name w:val="Nadpis 1 Char"/>
    <w:aliases w:val="Nadpis 0 Char"/>
    <w:link w:val="Nadpis1"/>
    <w:uiPriority w:val="99"/>
    <w:locked/>
    <w:rsid w:val="00C82B4F"/>
    <w:rPr>
      <w:rFonts w:ascii="Times New Roman" w:hAnsi="Times New Roman"/>
      <w:b/>
      <w:color w:val="000000"/>
      <w:sz w:val="28"/>
      <w:szCs w:val="32"/>
    </w:rPr>
  </w:style>
  <w:style w:type="character" w:customStyle="1" w:styleId="Nadpis2Char">
    <w:name w:val="Nadpis 2 Char"/>
    <w:aliases w:val="Nadpis 01 Char"/>
    <w:link w:val="Nadpis2"/>
    <w:uiPriority w:val="99"/>
    <w:locked/>
    <w:rsid w:val="00DA5816"/>
    <w:rPr>
      <w:rFonts w:ascii="Times New Roman" w:hAnsi="Times New Roman"/>
      <w:color w:val="000000"/>
      <w:sz w:val="28"/>
      <w:szCs w:val="26"/>
    </w:rPr>
  </w:style>
  <w:style w:type="paragraph" w:styleId="Nadpisobsahu">
    <w:name w:val="TOC Heading"/>
    <w:basedOn w:val="Nadpis1"/>
    <w:next w:val="Normln"/>
    <w:uiPriority w:val="39"/>
    <w:unhideWhenUsed/>
    <w:qFormat/>
    <w:rsid w:val="00517EC0"/>
    <w:pPr>
      <w:widowControl/>
      <w:tabs>
        <w:tab w:val="clear" w:pos="714"/>
      </w:tabs>
      <w:suppressAutoHyphens w:val="0"/>
      <w:autoSpaceDN/>
      <w:spacing w:after="0" w:line="259" w:lineRule="auto"/>
      <w:ind w:left="0" w:firstLine="0"/>
      <w:textAlignment w:val="auto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kern w:val="0"/>
      <w:sz w:val="32"/>
    </w:rPr>
  </w:style>
  <w:style w:type="paragraph" w:styleId="Obsah1">
    <w:name w:val="toc 1"/>
    <w:basedOn w:val="Normln"/>
    <w:next w:val="Normln"/>
    <w:autoRedefine/>
    <w:uiPriority w:val="39"/>
    <w:unhideWhenUsed/>
    <w:rsid w:val="00BC73E1"/>
    <w:pPr>
      <w:tabs>
        <w:tab w:val="left" w:pos="357"/>
        <w:tab w:val="left" w:pos="1560"/>
        <w:tab w:val="right" w:leader="dot" w:pos="9060"/>
      </w:tabs>
      <w:ind w:left="1560" w:hanging="1560"/>
    </w:pPr>
    <w:rPr>
      <w:rFonts w:ascii="Times New Roman" w:hAnsi="Times New Roman"/>
      <w:color w:val="000000" w:themeColor="text1"/>
      <w:sz w:val="24"/>
    </w:rPr>
  </w:style>
  <w:style w:type="paragraph" w:styleId="Obsah2">
    <w:name w:val="toc 2"/>
    <w:basedOn w:val="Normln"/>
    <w:next w:val="Normln"/>
    <w:autoRedefine/>
    <w:uiPriority w:val="39"/>
    <w:unhideWhenUsed/>
    <w:rsid w:val="000C57C6"/>
    <w:pPr>
      <w:tabs>
        <w:tab w:val="left" w:pos="851"/>
        <w:tab w:val="right" w:leader="dot" w:pos="9060"/>
      </w:tabs>
      <w:overflowPunct w:val="0"/>
      <w:autoSpaceDE w:val="0"/>
      <w:ind w:left="850" w:hanging="493"/>
    </w:pPr>
    <w:rPr>
      <w:rFonts w:ascii="Times New Roman" w:hAnsi="Times New Roman"/>
      <w:noProof/>
      <w:color w:val="000000" w:themeColor="text1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517EC0"/>
    <w:rPr>
      <w:color w:val="0563C1" w:themeColor="hyperlink"/>
      <w:u w:val="single"/>
    </w:rPr>
  </w:style>
  <w:style w:type="numbering" w:customStyle="1" w:styleId="Outline">
    <w:name w:val="Outline"/>
    <w:basedOn w:val="Bezseznamu"/>
    <w:pPr>
      <w:numPr>
        <w:numId w:val="2"/>
      </w:numPr>
    </w:pPr>
  </w:style>
  <w:style w:type="numbering" w:customStyle="1" w:styleId="WWNum1">
    <w:name w:val="WWNum1"/>
    <w:basedOn w:val="Bezseznamu"/>
    <w:pPr>
      <w:numPr>
        <w:numId w:val="3"/>
      </w:numPr>
    </w:pPr>
  </w:style>
  <w:style w:type="numbering" w:customStyle="1" w:styleId="WWNum2">
    <w:name w:val="WWNum2"/>
    <w:basedOn w:val="Bezseznamu"/>
    <w:pPr>
      <w:numPr>
        <w:numId w:val="4"/>
      </w:numPr>
    </w:pPr>
  </w:style>
  <w:style w:type="numbering" w:customStyle="1" w:styleId="WWNum3">
    <w:name w:val="WWNum3"/>
    <w:basedOn w:val="Bezseznamu"/>
    <w:pPr>
      <w:numPr>
        <w:numId w:val="5"/>
      </w:numPr>
    </w:pPr>
  </w:style>
  <w:style w:type="numbering" w:customStyle="1" w:styleId="WWNum4">
    <w:name w:val="WWNum4"/>
    <w:basedOn w:val="Bezseznamu"/>
    <w:pPr>
      <w:numPr>
        <w:numId w:val="6"/>
      </w:numPr>
    </w:pPr>
  </w:style>
  <w:style w:type="numbering" w:customStyle="1" w:styleId="WWNum5">
    <w:name w:val="WWNum5"/>
    <w:basedOn w:val="Bezseznamu"/>
    <w:pPr>
      <w:numPr>
        <w:numId w:val="7"/>
      </w:numPr>
    </w:pPr>
  </w:style>
  <w:style w:type="numbering" w:customStyle="1" w:styleId="WWNum6">
    <w:name w:val="WWNum6"/>
    <w:basedOn w:val="Bezseznamu"/>
    <w:pPr>
      <w:numPr>
        <w:numId w:val="8"/>
      </w:numPr>
    </w:pPr>
  </w:style>
  <w:style w:type="numbering" w:customStyle="1" w:styleId="WWNum7">
    <w:name w:val="WWNum7"/>
    <w:basedOn w:val="Bezseznamu"/>
    <w:pPr>
      <w:numPr>
        <w:numId w:val="9"/>
      </w:numPr>
    </w:pPr>
  </w:style>
  <w:style w:type="numbering" w:customStyle="1" w:styleId="WWNum8">
    <w:name w:val="WWNum8"/>
    <w:basedOn w:val="Bezseznamu"/>
    <w:pPr>
      <w:numPr>
        <w:numId w:val="10"/>
      </w:numPr>
    </w:pPr>
  </w:style>
  <w:style w:type="numbering" w:customStyle="1" w:styleId="WWNum9">
    <w:name w:val="WWNum9"/>
    <w:basedOn w:val="Bezseznamu"/>
    <w:pPr>
      <w:numPr>
        <w:numId w:val="11"/>
      </w:numPr>
    </w:pPr>
  </w:style>
  <w:style w:type="numbering" w:customStyle="1" w:styleId="WWNum10">
    <w:name w:val="WWNum10"/>
    <w:basedOn w:val="Bezseznamu"/>
    <w:pPr>
      <w:numPr>
        <w:numId w:val="12"/>
      </w:numPr>
    </w:pPr>
  </w:style>
  <w:style w:type="numbering" w:customStyle="1" w:styleId="WWNum11">
    <w:name w:val="WWNum11"/>
    <w:basedOn w:val="Bezseznamu"/>
    <w:pPr>
      <w:numPr>
        <w:numId w:val="13"/>
      </w:numPr>
    </w:pPr>
  </w:style>
  <w:style w:type="numbering" w:customStyle="1" w:styleId="WWNum12">
    <w:name w:val="WWNum12"/>
    <w:basedOn w:val="Bezseznamu"/>
    <w:pPr>
      <w:numPr>
        <w:numId w:val="14"/>
      </w:numPr>
    </w:pPr>
  </w:style>
  <w:style w:type="numbering" w:customStyle="1" w:styleId="WWNum13">
    <w:name w:val="WWNum13"/>
    <w:basedOn w:val="Bezseznamu"/>
    <w:pPr>
      <w:numPr>
        <w:numId w:val="15"/>
      </w:numPr>
    </w:pPr>
  </w:style>
  <w:style w:type="numbering" w:customStyle="1" w:styleId="WWNum14">
    <w:name w:val="WWNum14"/>
    <w:basedOn w:val="Bezseznamu"/>
    <w:pPr>
      <w:numPr>
        <w:numId w:val="16"/>
      </w:numPr>
    </w:pPr>
  </w:style>
  <w:style w:type="numbering" w:customStyle="1" w:styleId="WWNum15">
    <w:name w:val="WWNum15"/>
    <w:basedOn w:val="Bezseznamu"/>
    <w:pPr>
      <w:numPr>
        <w:numId w:val="17"/>
      </w:numPr>
    </w:pPr>
  </w:style>
  <w:style w:type="numbering" w:customStyle="1" w:styleId="WWNum16">
    <w:name w:val="WWNum16"/>
    <w:basedOn w:val="Bezseznamu"/>
    <w:pPr>
      <w:numPr>
        <w:numId w:val="18"/>
      </w:numPr>
    </w:pPr>
  </w:style>
  <w:style w:type="numbering" w:customStyle="1" w:styleId="WWNum17">
    <w:name w:val="WWNum17"/>
    <w:basedOn w:val="Bezseznamu"/>
    <w:pPr>
      <w:numPr>
        <w:numId w:val="19"/>
      </w:numPr>
    </w:pPr>
  </w:style>
  <w:style w:type="numbering" w:customStyle="1" w:styleId="WWNum18">
    <w:name w:val="WWNum18"/>
    <w:basedOn w:val="Bezseznamu"/>
    <w:pPr>
      <w:numPr>
        <w:numId w:val="20"/>
      </w:numPr>
    </w:pPr>
  </w:style>
  <w:style w:type="numbering" w:customStyle="1" w:styleId="WWNum19">
    <w:name w:val="WWNum19"/>
    <w:basedOn w:val="Bezseznamu"/>
    <w:pPr>
      <w:numPr>
        <w:numId w:val="21"/>
      </w:numPr>
    </w:pPr>
  </w:style>
  <w:style w:type="numbering" w:customStyle="1" w:styleId="WWNum20">
    <w:name w:val="WWNum20"/>
    <w:basedOn w:val="Bezseznamu"/>
    <w:pPr>
      <w:numPr>
        <w:numId w:val="22"/>
      </w:numPr>
    </w:pPr>
  </w:style>
  <w:style w:type="numbering" w:customStyle="1" w:styleId="WWNum21">
    <w:name w:val="WWNum21"/>
    <w:basedOn w:val="Bezseznamu"/>
    <w:pPr>
      <w:numPr>
        <w:numId w:val="23"/>
      </w:numPr>
    </w:pPr>
  </w:style>
  <w:style w:type="numbering" w:customStyle="1" w:styleId="WWNum22">
    <w:name w:val="WWNum22"/>
    <w:basedOn w:val="Bezseznamu"/>
    <w:pPr>
      <w:numPr>
        <w:numId w:val="24"/>
      </w:numPr>
    </w:pPr>
  </w:style>
  <w:style w:type="numbering" w:customStyle="1" w:styleId="WWNum23">
    <w:name w:val="WWNum23"/>
    <w:basedOn w:val="Bezseznamu"/>
    <w:pPr>
      <w:numPr>
        <w:numId w:val="25"/>
      </w:numPr>
    </w:pPr>
  </w:style>
  <w:style w:type="numbering" w:customStyle="1" w:styleId="WWNum24">
    <w:name w:val="WWNum24"/>
    <w:basedOn w:val="Bezseznamu"/>
    <w:pPr>
      <w:numPr>
        <w:numId w:val="26"/>
      </w:numPr>
    </w:pPr>
  </w:style>
  <w:style w:type="numbering" w:customStyle="1" w:styleId="WWNum25">
    <w:name w:val="WWNum25"/>
    <w:basedOn w:val="Bezseznamu"/>
    <w:pPr>
      <w:numPr>
        <w:numId w:val="27"/>
      </w:numPr>
    </w:pPr>
  </w:style>
  <w:style w:type="numbering" w:customStyle="1" w:styleId="WWNum26">
    <w:name w:val="WWNum26"/>
    <w:basedOn w:val="Bezseznamu"/>
    <w:pPr>
      <w:numPr>
        <w:numId w:val="28"/>
      </w:numPr>
    </w:pPr>
  </w:style>
  <w:style w:type="numbering" w:customStyle="1" w:styleId="WWNum27">
    <w:name w:val="WWNum27"/>
    <w:basedOn w:val="Bezseznamu"/>
    <w:pPr>
      <w:numPr>
        <w:numId w:val="29"/>
      </w:numPr>
    </w:pPr>
  </w:style>
  <w:style w:type="numbering" w:customStyle="1" w:styleId="WWNum28">
    <w:name w:val="WWNum28"/>
    <w:basedOn w:val="Bezseznamu"/>
    <w:pPr>
      <w:numPr>
        <w:numId w:val="30"/>
      </w:numPr>
    </w:pPr>
  </w:style>
  <w:style w:type="numbering" w:customStyle="1" w:styleId="WWNum29">
    <w:name w:val="WWNum29"/>
    <w:basedOn w:val="Bezseznamu"/>
    <w:pPr>
      <w:numPr>
        <w:numId w:val="31"/>
      </w:numPr>
    </w:pPr>
  </w:style>
  <w:style w:type="numbering" w:customStyle="1" w:styleId="WWNum30">
    <w:name w:val="WWNum30"/>
    <w:basedOn w:val="Bezseznamu"/>
    <w:pPr>
      <w:numPr>
        <w:numId w:val="32"/>
      </w:numPr>
    </w:pPr>
  </w:style>
  <w:style w:type="numbering" w:customStyle="1" w:styleId="WWNum31">
    <w:name w:val="WWNum31"/>
    <w:basedOn w:val="Bezseznamu"/>
    <w:pPr>
      <w:numPr>
        <w:numId w:val="33"/>
      </w:numPr>
    </w:pPr>
  </w:style>
  <w:style w:type="table" w:styleId="Tabulkasmkou4zvraznn3">
    <w:name w:val="Grid Table 4 Accent 3"/>
    <w:basedOn w:val="Normlntabulka"/>
    <w:uiPriority w:val="49"/>
    <w:rsid w:val="00E944BE"/>
    <w:pPr>
      <w:widowControl/>
      <w:autoSpaceDN/>
      <w:textAlignment w:val="auto"/>
    </w:pPr>
    <w:rPr>
      <w:rFonts w:asciiTheme="minorHAnsi" w:eastAsiaTheme="minorHAnsi" w:hAnsiTheme="minorHAnsi" w:cstheme="minorBidi"/>
      <w:kern w:val="0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customStyle="1" w:styleId="ZpatChar">
    <w:name w:val="Zápatí Char"/>
    <w:basedOn w:val="Standardnpsmoodstavce"/>
    <w:link w:val="Zpat"/>
    <w:uiPriority w:val="99"/>
    <w:rsid w:val="00E944BE"/>
    <w:rPr>
      <w:sz w:val="20"/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2235BE"/>
    <w:pPr>
      <w:widowControl/>
      <w:suppressAutoHyphens w:val="0"/>
      <w:autoSpaceDN/>
      <w:spacing w:after="100" w:line="259" w:lineRule="auto"/>
      <w:ind w:left="440"/>
      <w:textAlignment w:val="auto"/>
    </w:pPr>
    <w:rPr>
      <w:rFonts w:asciiTheme="minorHAnsi" w:eastAsiaTheme="minorEastAsia" w:hAnsiTheme="minorHAnsi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enviweb.cz/11598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8D51DA-E9E6-4233-9726-449610024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1433</TotalTime>
  <Pages>19</Pages>
  <Words>6865</Words>
  <Characters>40508</Characters>
  <Application>Microsoft Office Word</Application>
  <DocSecurity>0</DocSecurity>
  <Lines>337</Lines>
  <Paragraphs>94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47279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Smahova</dc:creator>
  <cp:lastModifiedBy>Smahova</cp:lastModifiedBy>
  <cp:revision>137</cp:revision>
  <cp:lastPrinted>2019-10-16T12:12:00Z</cp:lastPrinted>
  <dcterms:created xsi:type="dcterms:W3CDTF">2020-04-06T10:00:00Z</dcterms:created>
  <dcterms:modified xsi:type="dcterms:W3CDTF">2020-05-04T15:05:00Z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