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8D" w:rsidRPr="00246108" w:rsidRDefault="00CA788D" w:rsidP="00CA5527">
      <w:pPr>
        <w:pStyle w:val="Podnadpis"/>
      </w:pPr>
      <w:r w:rsidRPr="00246108">
        <w:t xml:space="preserve"> </w:t>
      </w:r>
    </w:p>
    <w:p w:rsidR="00CA788D" w:rsidRPr="00246108" w:rsidRDefault="00CA788D" w:rsidP="00C104D1">
      <w:pPr>
        <w:widowControl/>
        <w:spacing w:after="200" w:line="276" w:lineRule="auto"/>
      </w:pPr>
    </w:p>
    <w:p w:rsidR="00CA788D" w:rsidRPr="005A2CBE" w:rsidRDefault="00CA788D" w:rsidP="00605778">
      <w:pPr>
        <w:widowControl/>
        <w:spacing w:after="200" w:line="276" w:lineRule="auto"/>
      </w:pPr>
    </w:p>
    <w:p w:rsidR="00CA788D" w:rsidRPr="005A2CBE" w:rsidRDefault="00CA788D" w:rsidP="00717094">
      <w:pPr>
        <w:widowControl/>
        <w:spacing w:after="200" w:line="276" w:lineRule="auto"/>
        <w:jc w:val="center"/>
      </w:pPr>
    </w:p>
    <w:p w:rsidR="00CA788D" w:rsidRPr="00A45491" w:rsidRDefault="00CA788D" w:rsidP="00A45491"/>
    <w:p w:rsidR="00CA788D" w:rsidRPr="005A2CBE" w:rsidRDefault="00CA788D" w:rsidP="00F25566">
      <w:pPr>
        <w:widowControl/>
        <w:spacing w:line="276" w:lineRule="auto"/>
        <w:jc w:val="center"/>
        <w:rPr>
          <w:sz w:val="56"/>
          <w:szCs w:val="56"/>
        </w:rPr>
      </w:pPr>
    </w:p>
    <w:p w:rsidR="00CA788D" w:rsidRPr="00BD6667" w:rsidRDefault="00CA788D" w:rsidP="00717094">
      <w:pPr>
        <w:widowControl/>
        <w:spacing w:after="200" w:line="276" w:lineRule="auto"/>
        <w:jc w:val="center"/>
        <w:rPr>
          <w:rFonts w:ascii="Cambria" w:hAnsi="Cambria"/>
          <w:sz w:val="52"/>
          <w:szCs w:val="52"/>
        </w:rPr>
      </w:pPr>
      <w:r w:rsidRPr="00BD6667">
        <w:rPr>
          <w:rFonts w:ascii="Cambria" w:hAnsi="Cambria"/>
          <w:sz w:val="52"/>
          <w:szCs w:val="52"/>
        </w:rPr>
        <w:t>Technologické trendy v silniční dopravě</w:t>
      </w:r>
    </w:p>
    <w:p w:rsidR="00CA788D" w:rsidRPr="00BD6667" w:rsidRDefault="00CA788D" w:rsidP="00717094">
      <w:pPr>
        <w:widowControl/>
        <w:spacing w:after="200" w:line="276" w:lineRule="auto"/>
        <w:jc w:val="center"/>
        <w:rPr>
          <w:rFonts w:ascii="Cambria" w:hAnsi="Cambria"/>
          <w:sz w:val="40"/>
          <w:szCs w:val="40"/>
        </w:rPr>
      </w:pPr>
      <w:r w:rsidRPr="00BD6667">
        <w:rPr>
          <w:rFonts w:ascii="Cambria" w:hAnsi="Cambria"/>
          <w:sz w:val="40"/>
          <w:szCs w:val="40"/>
        </w:rPr>
        <w:t xml:space="preserve">4. etapa </w:t>
      </w:r>
    </w:p>
    <w:p w:rsidR="00CA788D" w:rsidRPr="00BD6667" w:rsidRDefault="00CA788D" w:rsidP="00717094">
      <w:pPr>
        <w:widowControl/>
        <w:spacing w:after="200" w:line="276" w:lineRule="auto"/>
        <w:jc w:val="center"/>
        <w:rPr>
          <w:rFonts w:ascii="Cambria" w:hAnsi="Cambria"/>
          <w:sz w:val="38"/>
          <w:szCs w:val="38"/>
        </w:rPr>
      </w:pPr>
      <w:r w:rsidRPr="00BD6667">
        <w:rPr>
          <w:rFonts w:ascii="Cambria" w:hAnsi="Cambria"/>
          <w:sz w:val="38"/>
          <w:szCs w:val="38"/>
        </w:rPr>
        <w:t>Směry technologického vývoje – oblast alternativní pohonné hmoty pro silniční dopravu</w:t>
      </w:r>
    </w:p>
    <w:p w:rsidR="00CA788D" w:rsidRPr="00BD6667" w:rsidRDefault="00CA788D" w:rsidP="00717094">
      <w:pPr>
        <w:widowControl/>
        <w:spacing w:after="200" w:line="276" w:lineRule="auto"/>
        <w:jc w:val="center"/>
        <w:rPr>
          <w:rFonts w:ascii="Cambria" w:hAnsi="Cambria"/>
          <w:sz w:val="38"/>
          <w:szCs w:val="38"/>
        </w:rPr>
      </w:pPr>
      <w:r w:rsidRPr="00BD6667">
        <w:rPr>
          <w:rFonts w:ascii="Cambria" w:hAnsi="Cambria"/>
          <w:sz w:val="38"/>
          <w:szCs w:val="38"/>
        </w:rPr>
        <w:t xml:space="preserve">Aktualizace strategické výzkumné agendy </w:t>
      </w:r>
    </w:p>
    <w:p w:rsidR="00CA788D" w:rsidRPr="00BD6667" w:rsidRDefault="00CA788D" w:rsidP="00605778">
      <w:pPr>
        <w:widowControl/>
        <w:spacing w:after="200" w:line="276" w:lineRule="auto"/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 xml:space="preserve">                                                      </w:t>
      </w:r>
    </w:p>
    <w:p w:rsidR="00CA788D" w:rsidRPr="00BD6667" w:rsidRDefault="00CA788D" w:rsidP="00605778">
      <w:pPr>
        <w:widowControl/>
        <w:spacing w:after="200" w:line="276" w:lineRule="auto"/>
        <w:jc w:val="center"/>
        <w:rPr>
          <w:rFonts w:ascii="Cambria" w:hAnsi="Cambria"/>
          <w:sz w:val="28"/>
          <w:szCs w:val="28"/>
        </w:rPr>
      </w:pPr>
    </w:p>
    <w:p w:rsidR="00CA788D" w:rsidRPr="00BD6667" w:rsidRDefault="00CA788D" w:rsidP="00605778">
      <w:pPr>
        <w:widowControl/>
        <w:spacing w:after="200" w:line="276" w:lineRule="auto"/>
        <w:jc w:val="center"/>
        <w:rPr>
          <w:rFonts w:ascii="Cambria" w:hAnsi="Cambria"/>
          <w:sz w:val="28"/>
          <w:szCs w:val="28"/>
        </w:rPr>
      </w:pPr>
    </w:p>
    <w:p w:rsidR="00CA788D" w:rsidRPr="00BD6667" w:rsidRDefault="00CA788D" w:rsidP="00605778">
      <w:pPr>
        <w:widowControl/>
        <w:spacing w:after="200" w:line="276" w:lineRule="auto"/>
        <w:jc w:val="center"/>
        <w:rPr>
          <w:rFonts w:ascii="Cambria" w:hAnsi="Cambria"/>
          <w:sz w:val="28"/>
          <w:szCs w:val="28"/>
        </w:rPr>
      </w:pPr>
    </w:p>
    <w:p w:rsidR="00CA788D" w:rsidRPr="00BD6667" w:rsidRDefault="00CA788D" w:rsidP="00605778">
      <w:pPr>
        <w:widowControl/>
        <w:spacing w:after="200" w:line="276" w:lineRule="auto"/>
        <w:jc w:val="center"/>
        <w:rPr>
          <w:rFonts w:ascii="Cambria" w:hAnsi="Cambria"/>
          <w:sz w:val="28"/>
          <w:szCs w:val="28"/>
        </w:rPr>
      </w:pPr>
    </w:p>
    <w:p w:rsidR="00CA788D" w:rsidRPr="00BD6667" w:rsidRDefault="00CA788D" w:rsidP="00605778">
      <w:pPr>
        <w:widowControl/>
        <w:spacing w:after="200" w:line="276" w:lineRule="auto"/>
        <w:jc w:val="center"/>
        <w:rPr>
          <w:rFonts w:ascii="Cambria" w:hAnsi="Cambria"/>
          <w:sz w:val="28"/>
          <w:szCs w:val="28"/>
        </w:rPr>
      </w:pPr>
    </w:p>
    <w:p w:rsidR="00CA788D" w:rsidRPr="00BD6667" w:rsidRDefault="00CA788D" w:rsidP="00605778">
      <w:pPr>
        <w:widowControl/>
        <w:spacing w:after="200" w:line="276" w:lineRule="auto"/>
        <w:jc w:val="center"/>
        <w:rPr>
          <w:rFonts w:ascii="Cambria" w:hAnsi="Cambria"/>
          <w:sz w:val="28"/>
          <w:szCs w:val="28"/>
        </w:rPr>
      </w:pPr>
    </w:p>
    <w:p w:rsidR="00CA788D" w:rsidRPr="00BD6667" w:rsidRDefault="00CA788D" w:rsidP="00605778">
      <w:pPr>
        <w:widowControl/>
        <w:spacing w:after="200" w:line="276" w:lineRule="auto"/>
        <w:jc w:val="center"/>
        <w:rPr>
          <w:rFonts w:ascii="Cambria" w:hAnsi="Cambria"/>
          <w:sz w:val="28"/>
          <w:szCs w:val="28"/>
        </w:rPr>
      </w:pPr>
    </w:p>
    <w:p w:rsidR="00CA788D" w:rsidRPr="00BD6667" w:rsidRDefault="00CA788D" w:rsidP="00605778">
      <w:pPr>
        <w:widowControl/>
        <w:spacing w:after="200" w:line="276" w:lineRule="auto"/>
        <w:jc w:val="center"/>
        <w:rPr>
          <w:rFonts w:ascii="Cambria" w:hAnsi="Cambria"/>
          <w:sz w:val="28"/>
          <w:szCs w:val="28"/>
        </w:rPr>
      </w:pPr>
      <w:r w:rsidRPr="00BD6667">
        <w:rPr>
          <w:rFonts w:ascii="Cambria" w:hAnsi="Cambria"/>
          <w:sz w:val="28"/>
          <w:szCs w:val="28"/>
        </w:rPr>
        <w:t>Česká asociace petrolejářského průmyslu a obchodu</w:t>
      </w:r>
    </w:p>
    <w:p w:rsidR="00CA788D" w:rsidRPr="00BD6667" w:rsidRDefault="00CA788D" w:rsidP="00B2692C">
      <w:pPr>
        <w:widowControl/>
        <w:spacing w:after="200" w:line="276" w:lineRule="auto"/>
        <w:jc w:val="center"/>
        <w:rPr>
          <w:rFonts w:ascii="Cambria" w:hAnsi="Cambria"/>
          <w:sz w:val="28"/>
          <w:szCs w:val="28"/>
        </w:rPr>
      </w:pPr>
      <w:r w:rsidRPr="00BD6667">
        <w:rPr>
          <w:rFonts w:ascii="Cambria" w:hAnsi="Cambria"/>
          <w:sz w:val="28"/>
          <w:szCs w:val="28"/>
        </w:rPr>
        <w:t>Květen 2019</w:t>
      </w:r>
    </w:p>
    <w:p w:rsidR="00CA788D" w:rsidRPr="00BD6667" w:rsidRDefault="00CA788D" w:rsidP="00717094">
      <w:pPr>
        <w:widowControl/>
        <w:tabs>
          <w:tab w:val="left" w:pos="3960"/>
        </w:tabs>
        <w:rPr>
          <w:rFonts w:ascii="Cambria" w:hAnsi="Cambria"/>
          <w:szCs w:val="24"/>
        </w:rPr>
      </w:pPr>
    </w:p>
    <w:p w:rsidR="00CA788D" w:rsidRPr="00BD6667" w:rsidRDefault="00A45491" w:rsidP="00717094">
      <w:pPr>
        <w:widowControl/>
        <w:tabs>
          <w:tab w:val="left" w:pos="396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br w:type="page"/>
      </w:r>
      <w:r w:rsidR="00CA788D" w:rsidRPr="00BD6667">
        <w:rPr>
          <w:rFonts w:ascii="Cambria" w:hAnsi="Cambria"/>
          <w:szCs w:val="24"/>
        </w:rPr>
        <w:lastRenderedPageBreak/>
        <w:t>Vypracoval řešitelský tým ve složení:</w:t>
      </w:r>
      <w:r w:rsidR="00CA788D" w:rsidRPr="00BD6667">
        <w:rPr>
          <w:rFonts w:ascii="Cambria" w:hAnsi="Cambria"/>
          <w:szCs w:val="24"/>
        </w:rPr>
        <w:tab/>
        <w:t>Ing. Miloš Podrazil</w:t>
      </w:r>
    </w:p>
    <w:p w:rsidR="00CA788D" w:rsidRPr="00BD6667" w:rsidRDefault="00CA788D" w:rsidP="00717094">
      <w:pPr>
        <w:widowControl/>
        <w:tabs>
          <w:tab w:val="left" w:pos="3960"/>
        </w:tabs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 xml:space="preserve">                                                          </w:t>
      </w:r>
      <w:r w:rsidRPr="00BD6667">
        <w:rPr>
          <w:rFonts w:ascii="Cambria" w:hAnsi="Cambria"/>
          <w:szCs w:val="24"/>
        </w:rPr>
        <w:tab/>
        <w:t>Ing. Vladimír Třebický, CSc.</w:t>
      </w:r>
    </w:p>
    <w:p w:rsidR="00CA788D" w:rsidRPr="00BD6667" w:rsidRDefault="00CA788D" w:rsidP="00717094">
      <w:pPr>
        <w:widowControl/>
        <w:tabs>
          <w:tab w:val="left" w:pos="3960"/>
        </w:tabs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 xml:space="preserve">                                                               </w:t>
      </w:r>
    </w:p>
    <w:p w:rsidR="00205344" w:rsidRPr="00BD6667" w:rsidRDefault="00CA788D" w:rsidP="00205344">
      <w:pPr>
        <w:widowControl/>
        <w:tabs>
          <w:tab w:val="left" w:pos="3960"/>
          <w:tab w:val="left" w:pos="4678"/>
        </w:tabs>
        <w:ind w:left="3960" w:hanging="3960"/>
        <w:jc w:val="left"/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>Vedoucí řešitelského týmu:</w:t>
      </w:r>
      <w:r w:rsidRPr="00BD6667">
        <w:rPr>
          <w:rFonts w:ascii="Cambria" w:hAnsi="Cambria"/>
          <w:szCs w:val="24"/>
        </w:rPr>
        <w:tab/>
        <w:t>Ing. Miloš Podrazil</w:t>
      </w:r>
      <w:r w:rsidRPr="00BD6667">
        <w:rPr>
          <w:rFonts w:ascii="Cambria" w:hAnsi="Cambria"/>
          <w:szCs w:val="24"/>
        </w:rPr>
        <w:br/>
        <w:t>asistent výkonného ředitele</w:t>
      </w:r>
      <w:r w:rsidRPr="00BD6667">
        <w:rPr>
          <w:rFonts w:ascii="Cambria" w:hAnsi="Cambria"/>
          <w:szCs w:val="24"/>
        </w:rPr>
        <w:br/>
        <w:t xml:space="preserve">Česká asociace petrolejářského </w:t>
      </w:r>
      <w:r w:rsidR="00205344" w:rsidRPr="00BD6667">
        <w:rPr>
          <w:rFonts w:ascii="Cambria" w:hAnsi="Cambria"/>
          <w:szCs w:val="24"/>
        </w:rPr>
        <w:br/>
      </w:r>
      <w:r w:rsidRPr="00BD6667">
        <w:rPr>
          <w:rFonts w:ascii="Cambria" w:hAnsi="Cambria"/>
          <w:szCs w:val="24"/>
        </w:rPr>
        <w:t xml:space="preserve">průmyslu a obchodu </w:t>
      </w:r>
      <w:r w:rsidRPr="00BD6667">
        <w:rPr>
          <w:rFonts w:ascii="Cambria" w:hAnsi="Cambria"/>
          <w:szCs w:val="24"/>
        </w:rPr>
        <w:tab/>
      </w:r>
    </w:p>
    <w:p w:rsidR="00CA788D" w:rsidRPr="00BD6667" w:rsidRDefault="00205344" w:rsidP="00717094">
      <w:pPr>
        <w:widowControl/>
        <w:tabs>
          <w:tab w:val="left" w:pos="3960"/>
          <w:tab w:val="left" w:pos="4678"/>
        </w:tabs>
        <w:jc w:val="left"/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ab/>
      </w:r>
      <w:proofErr w:type="spellStart"/>
      <w:r w:rsidR="00CA788D" w:rsidRPr="00BD6667">
        <w:rPr>
          <w:rFonts w:ascii="Cambria" w:hAnsi="Cambria"/>
          <w:szCs w:val="24"/>
        </w:rPr>
        <w:t>Rubeška</w:t>
      </w:r>
      <w:proofErr w:type="spellEnd"/>
      <w:r w:rsidR="00CA788D" w:rsidRPr="00BD6667">
        <w:rPr>
          <w:rFonts w:ascii="Cambria" w:hAnsi="Cambria"/>
          <w:szCs w:val="24"/>
        </w:rPr>
        <w:t xml:space="preserve"> 393/7</w:t>
      </w:r>
    </w:p>
    <w:p w:rsidR="00CA788D" w:rsidRPr="00BD6667" w:rsidRDefault="00CA788D" w:rsidP="00717094">
      <w:pPr>
        <w:widowControl/>
        <w:tabs>
          <w:tab w:val="left" w:pos="3960"/>
          <w:tab w:val="left" w:pos="4678"/>
        </w:tabs>
        <w:jc w:val="left"/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ab/>
        <w:t>190 00 Praha 9</w:t>
      </w:r>
    </w:p>
    <w:p w:rsidR="00CA788D" w:rsidRPr="00BD6667" w:rsidRDefault="00CA788D" w:rsidP="00717094">
      <w:pPr>
        <w:widowControl/>
        <w:tabs>
          <w:tab w:val="left" w:pos="3960"/>
          <w:tab w:val="left" w:pos="4678"/>
        </w:tabs>
        <w:jc w:val="left"/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ab/>
        <w:t xml:space="preserve">tel.: </w:t>
      </w:r>
      <w:r w:rsidRPr="00BD6667">
        <w:rPr>
          <w:rFonts w:ascii="Cambria" w:hAnsi="Cambria"/>
          <w:szCs w:val="24"/>
        </w:rPr>
        <w:tab/>
        <w:t>+420 274 817 404</w:t>
      </w:r>
    </w:p>
    <w:p w:rsidR="00CA788D" w:rsidRPr="00BD6667" w:rsidRDefault="00CA788D" w:rsidP="003911BF">
      <w:pPr>
        <w:widowControl/>
        <w:tabs>
          <w:tab w:val="left" w:pos="3960"/>
          <w:tab w:val="left" w:pos="4678"/>
        </w:tabs>
        <w:jc w:val="left"/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ab/>
        <w:t>mobil:</w:t>
      </w:r>
      <w:r w:rsidRPr="00BD6667">
        <w:rPr>
          <w:rFonts w:ascii="Cambria" w:hAnsi="Cambria"/>
          <w:szCs w:val="24"/>
        </w:rPr>
        <w:tab/>
        <w:t>+420 602 656 683</w:t>
      </w:r>
    </w:p>
    <w:p w:rsidR="00CA788D" w:rsidRPr="00BD6667" w:rsidRDefault="00CA788D" w:rsidP="00717094">
      <w:pPr>
        <w:widowControl/>
        <w:tabs>
          <w:tab w:val="left" w:pos="3960"/>
          <w:tab w:val="left" w:pos="4678"/>
        </w:tabs>
        <w:jc w:val="left"/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ab/>
        <w:t>e-mail:</w:t>
      </w:r>
      <w:r w:rsidRPr="00BD6667">
        <w:rPr>
          <w:rFonts w:ascii="Cambria" w:hAnsi="Cambria"/>
          <w:szCs w:val="24"/>
        </w:rPr>
        <w:tab/>
      </w:r>
      <w:r w:rsidR="00205344" w:rsidRPr="00BD6667">
        <w:rPr>
          <w:rFonts w:ascii="Cambria" w:hAnsi="Cambria"/>
          <w:szCs w:val="24"/>
        </w:rPr>
        <w:t xml:space="preserve"> </w:t>
      </w:r>
      <w:hyperlink r:id="rId8" w:history="1">
        <w:r w:rsidR="00205344" w:rsidRPr="00BD6667">
          <w:rPr>
            <w:rStyle w:val="Hypertextovodkaz"/>
            <w:rFonts w:ascii="Cambria" w:hAnsi="Cambria"/>
            <w:szCs w:val="24"/>
          </w:rPr>
          <w:t>cappo@cappo.cz</w:t>
        </w:r>
      </w:hyperlink>
    </w:p>
    <w:p w:rsidR="00CA788D" w:rsidRPr="00BD6667" w:rsidRDefault="008309BB" w:rsidP="00205344">
      <w:pPr>
        <w:widowControl/>
        <w:ind w:left="709" w:firstLine="709"/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 xml:space="preserve">    </w:t>
      </w:r>
      <w:r w:rsidR="00CA788D" w:rsidRPr="00BD6667">
        <w:rPr>
          <w:rFonts w:ascii="Cambria" w:hAnsi="Cambria"/>
          <w:szCs w:val="24"/>
        </w:rPr>
        <w:t>17.</w:t>
      </w:r>
      <w:r w:rsidR="008A41DF" w:rsidRPr="00BD6667">
        <w:rPr>
          <w:rFonts w:ascii="Cambria" w:hAnsi="Cambria"/>
          <w:szCs w:val="24"/>
        </w:rPr>
        <w:t xml:space="preserve"> </w:t>
      </w:r>
      <w:r w:rsidR="00CA788D" w:rsidRPr="00BD6667">
        <w:rPr>
          <w:rFonts w:ascii="Cambria" w:hAnsi="Cambria"/>
          <w:szCs w:val="24"/>
        </w:rPr>
        <w:t>5.</w:t>
      </w:r>
      <w:r w:rsidR="008A41DF" w:rsidRPr="00BD6667">
        <w:rPr>
          <w:rFonts w:ascii="Cambria" w:hAnsi="Cambria"/>
          <w:szCs w:val="24"/>
        </w:rPr>
        <w:t xml:space="preserve"> </w:t>
      </w:r>
      <w:r w:rsidR="00CA788D" w:rsidRPr="00BD6667">
        <w:rPr>
          <w:rFonts w:ascii="Cambria" w:hAnsi="Cambria"/>
          <w:szCs w:val="24"/>
        </w:rPr>
        <w:t>2019</w:t>
      </w:r>
    </w:p>
    <w:p w:rsidR="00CA788D" w:rsidRPr="00BD6667" w:rsidRDefault="00CA788D" w:rsidP="00717094">
      <w:pPr>
        <w:widowControl/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>………………………………………..</w:t>
      </w:r>
    </w:p>
    <w:p w:rsidR="00CA788D" w:rsidRPr="00BD6667" w:rsidRDefault="00CA788D" w:rsidP="00717094">
      <w:pPr>
        <w:widowControl/>
        <w:tabs>
          <w:tab w:val="left" w:pos="720"/>
        </w:tabs>
        <w:rPr>
          <w:rFonts w:ascii="Cambria" w:hAnsi="Cambria"/>
          <w:szCs w:val="24"/>
        </w:rPr>
      </w:pPr>
      <w:r w:rsidRPr="00BD6667">
        <w:rPr>
          <w:rFonts w:ascii="Cambria" w:hAnsi="Cambria"/>
          <w:szCs w:val="24"/>
        </w:rPr>
        <w:tab/>
        <w:t>podpis, datum</w:t>
      </w:r>
    </w:p>
    <w:p w:rsidR="00CA788D" w:rsidRPr="00787EB4" w:rsidRDefault="00CA788D" w:rsidP="008A1578">
      <w:pPr>
        <w:widowControl/>
        <w:spacing w:before="240" w:after="240"/>
        <w:rPr>
          <w:rFonts w:ascii="Cambria" w:hAnsi="Cambria"/>
          <w:sz w:val="28"/>
          <w:szCs w:val="28"/>
        </w:rPr>
      </w:pPr>
      <w:r w:rsidRPr="00BD6667">
        <w:rPr>
          <w:rFonts w:ascii="Cambria" w:hAnsi="Cambria"/>
          <w:b/>
          <w:i/>
          <w:szCs w:val="24"/>
          <w:u w:val="single"/>
        </w:rPr>
        <w:br w:type="page"/>
      </w:r>
      <w:r w:rsidRPr="00787EB4">
        <w:rPr>
          <w:rFonts w:ascii="Cambria" w:hAnsi="Cambria"/>
          <w:b/>
          <w:sz w:val="28"/>
          <w:szCs w:val="28"/>
        </w:rPr>
        <w:lastRenderedPageBreak/>
        <w:t>Obsah</w:t>
      </w:r>
    </w:p>
    <w:p w:rsidR="002B64CB" w:rsidRPr="00000606" w:rsidRDefault="00A45491">
      <w:pPr>
        <w:pStyle w:val="Obsah2"/>
        <w:rPr>
          <w:rFonts w:ascii="Calibri" w:hAnsi="Calibri"/>
          <w:noProof/>
          <w:kern w:val="0"/>
          <w:sz w:val="22"/>
        </w:rPr>
      </w:pPr>
      <w:r w:rsidRPr="00000606">
        <w:rPr>
          <w:b/>
          <w:bCs/>
          <w:szCs w:val="24"/>
        </w:rPr>
        <w:fldChar w:fldCharType="begin"/>
      </w:r>
      <w:r w:rsidRPr="00000606">
        <w:rPr>
          <w:b/>
          <w:bCs/>
          <w:szCs w:val="24"/>
        </w:rPr>
        <w:instrText xml:space="preserve"> TOC \o "1-5" \h \z \u </w:instrText>
      </w:r>
      <w:r w:rsidRPr="00000606">
        <w:rPr>
          <w:b/>
          <w:bCs/>
          <w:szCs w:val="24"/>
        </w:rPr>
        <w:fldChar w:fldCharType="separate"/>
      </w:r>
      <w:hyperlink w:anchor="_Toc5959523" w:history="1">
        <w:r w:rsidR="002B64CB" w:rsidRPr="00B321EB">
          <w:rPr>
            <w:rStyle w:val="Hypertextovodkaz"/>
            <w:rFonts w:ascii="Times New Roman" w:hAnsi="Times New Roman"/>
            <w:b/>
            <w:noProof/>
          </w:rPr>
          <w:t>1.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b/>
            <w:noProof/>
          </w:rPr>
          <w:t>Oblast alternativní pohonné hmoty pro silniční dopravu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_Toc5959523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4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2"/>
        <w:rPr>
          <w:rFonts w:ascii="Calibri" w:hAnsi="Calibri"/>
          <w:noProof/>
          <w:kern w:val="0"/>
          <w:sz w:val="22"/>
        </w:rPr>
      </w:pPr>
      <w:hyperlink w:anchor="_Toc5959524" w:history="1">
        <w:r w:rsidR="002B64CB" w:rsidRPr="00B321EB">
          <w:rPr>
            <w:rStyle w:val="Hypertextovodkaz"/>
            <w:noProof/>
          </w:rPr>
          <w:t>1.1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Úvod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_Toc5959524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4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2"/>
        <w:ind w:left="426" w:hanging="426"/>
        <w:rPr>
          <w:rFonts w:ascii="Calibri" w:hAnsi="Calibri"/>
          <w:noProof/>
          <w:kern w:val="0"/>
          <w:sz w:val="22"/>
        </w:rPr>
      </w:pPr>
      <w:hyperlink w:anchor="_Toc5959525" w:history="1">
        <w:r w:rsidR="002B64CB" w:rsidRPr="00B321EB">
          <w:rPr>
            <w:rStyle w:val="Hypertextovodkaz"/>
            <w:noProof/>
          </w:rPr>
          <w:t>1.2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Hlavní problémy výzkumu a vývoje v oblasti alternativních pohonných hmot pro silniční dopravu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_Toc5959525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4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2"/>
        <w:rPr>
          <w:rFonts w:ascii="Calibri" w:hAnsi="Calibri"/>
          <w:noProof/>
          <w:kern w:val="0"/>
          <w:sz w:val="22"/>
        </w:rPr>
      </w:pPr>
      <w:hyperlink w:anchor="_Toc5959526" w:history="1">
        <w:r w:rsidR="002B64CB" w:rsidRPr="00B321EB">
          <w:rPr>
            <w:rStyle w:val="Hypertextovodkaz"/>
            <w:noProof/>
          </w:rPr>
          <w:t>1.3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Vize budoucího stavu v roce 2030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_Toc5959526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5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2"/>
        <w:rPr>
          <w:rFonts w:ascii="Calibri" w:hAnsi="Calibri"/>
          <w:noProof/>
          <w:kern w:val="0"/>
          <w:sz w:val="22"/>
        </w:rPr>
      </w:pPr>
      <w:hyperlink w:anchor="_Toc5959527" w:history="1">
        <w:r w:rsidR="002B64CB" w:rsidRPr="00B321EB">
          <w:rPr>
            <w:rStyle w:val="Hypertextovodkaz"/>
            <w:noProof/>
          </w:rPr>
          <w:t>1.4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Základní charakteristika legislativy k RED II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_Toc5959527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5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3"/>
        <w:ind w:left="993" w:hanging="567"/>
        <w:rPr>
          <w:rFonts w:ascii="Calibri" w:hAnsi="Calibri"/>
          <w:noProof/>
          <w:kern w:val="0"/>
          <w:sz w:val="22"/>
        </w:rPr>
      </w:pPr>
      <w:hyperlink w:anchor="_Toc5959528" w:history="1">
        <w:r w:rsidR="002B64CB" w:rsidRPr="00B321EB">
          <w:rPr>
            <w:rStyle w:val="Hypertextovodkaz"/>
            <w:noProof/>
          </w:rPr>
          <w:t>1.4.1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Cíle a obsah směrnice Evropského parlamentu a Rady (EU) 2018/2001 o podpoře využívání energie z obnovitelných zdrojů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_Toc5959528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5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3"/>
        <w:rPr>
          <w:rFonts w:ascii="Calibri" w:hAnsi="Calibri"/>
          <w:noProof/>
          <w:kern w:val="0"/>
          <w:sz w:val="22"/>
        </w:rPr>
      </w:pPr>
      <w:hyperlink w:anchor="_Toc5959529" w:history="1">
        <w:r w:rsidR="002B64CB" w:rsidRPr="00B321EB">
          <w:rPr>
            <w:rStyle w:val="Hypertextovodkaz"/>
            <w:noProof/>
          </w:rPr>
          <w:t>1.4.2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Cíle a obsah návrhu vnitrostátního plánu ČR v oblasti energetiky a klimatu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_Toc5959529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7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3"/>
        <w:rPr>
          <w:rFonts w:ascii="Calibri" w:hAnsi="Calibri"/>
          <w:noProof/>
          <w:kern w:val="0"/>
          <w:sz w:val="22"/>
        </w:rPr>
      </w:pPr>
      <w:hyperlink w:anchor="_Toc5959530" w:history="1">
        <w:r w:rsidR="002B64CB" w:rsidRPr="00B321EB">
          <w:rPr>
            <w:rStyle w:val="Hypertextovodkaz"/>
            <w:noProof/>
          </w:rPr>
          <w:t>1.4.3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Zákon o ochraně ovzduší a novela zákon o podpoře obnovitelných zdrojů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_Toc5959530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8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4"/>
        <w:tabs>
          <w:tab w:val="left" w:pos="1786"/>
        </w:tabs>
        <w:rPr>
          <w:rFonts w:ascii="Calibri" w:hAnsi="Calibri"/>
          <w:noProof/>
          <w:kern w:val="0"/>
          <w:sz w:val="22"/>
        </w:rPr>
      </w:pPr>
      <w:hyperlink w:anchor="_Toc5959531" w:history="1">
        <w:r w:rsidR="002B64CB" w:rsidRPr="00B321EB">
          <w:rPr>
            <w:rStyle w:val="Hypertextovodkaz"/>
            <w:noProof/>
          </w:rPr>
          <w:t>1.4.3.1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Zákon o ochraně ovzduší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_Toc5959531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8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4"/>
        <w:tabs>
          <w:tab w:val="left" w:pos="1786"/>
        </w:tabs>
        <w:ind w:left="1786" w:hanging="793"/>
        <w:rPr>
          <w:rFonts w:ascii="Calibri" w:hAnsi="Calibri"/>
          <w:noProof/>
          <w:kern w:val="0"/>
          <w:sz w:val="22"/>
        </w:rPr>
      </w:pPr>
      <w:hyperlink w:anchor="_Toc5959532" w:history="1">
        <w:r w:rsidR="002B64CB" w:rsidRPr="00B321EB">
          <w:rPr>
            <w:rStyle w:val="Hypertextovodkaz"/>
            <w:noProof/>
          </w:rPr>
          <w:t>1.4.3.2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Novela zákona o podporovaných zdrojích energie a o změně některých zákonů, ve znění pozdějších předpisů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_Toc5959532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9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3"/>
        <w:ind w:left="993" w:hanging="567"/>
        <w:rPr>
          <w:rFonts w:ascii="Calibri" w:hAnsi="Calibri"/>
          <w:noProof/>
          <w:kern w:val="0"/>
          <w:sz w:val="22"/>
        </w:rPr>
      </w:pPr>
      <w:hyperlink w:anchor="_Toc5959533" w:history="1">
        <w:r w:rsidR="002B64CB" w:rsidRPr="00B321EB">
          <w:rPr>
            <w:rStyle w:val="Hypertextovodkaz"/>
            <w:noProof/>
          </w:rPr>
          <w:t>1.4.4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Analýza plnění dopadů cílů legislativy na sortiment a kvalitu paliv pro silniční dopravu do roku 2030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_Toc5959533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9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2"/>
        <w:ind w:left="426" w:hanging="426"/>
        <w:rPr>
          <w:rFonts w:ascii="Calibri" w:hAnsi="Calibri"/>
          <w:noProof/>
          <w:kern w:val="0"/>
          <w:sz w:val="22"/>
        </w:rPr>
      </w:pPr>
      <w:hyperlink w:anchor="_Toc5959534" w:history="1">
        <w:r w:rsidR="002B64CB" w:rsidRPr="00B321EB">
          <w:rPr>
            <w:rStyle w:val="Hypertextovodkaz"/>
            <w:noProof/>
          </w:rPr>
          <w:t>1.5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Náplň zaměření a hlavních výzkumných témat v oblasti alternativních paliv pro silniční dopravu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_Toc5959534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10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3"/>
        <w:rPr>
          <w:rFonts w:ascii="Calibri" w:hAnsi="Calibri"/>
          <w:noProof/>
          <w:kern w:val="0"/>
          <w:sz w:val="22"/>
        </w:rPr>
      </w:pPr>
      <w:hyperlink w:anchor="_Toc5959535" w:history="1">
        <w:r w:rsidR="002B64CB" w:rsidRPr="00B321EB">
          <w:rPr>
            <w:rStyle w:val="Hypertextovodkaz"/>
            <w:noProof/>
          </w:rPr>
          <w:t>1.5.1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Téma 1: Hydrogenované rostlinné oleje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_Toc5959535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11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4"/>
        <w:tabs>
          <w:tab w:val="left" w:pos="1786"/>
        </w:tabs>
        <w:rPr>
          <w:rFonts w:ascii="Calibri" w:hAnsi="Calibri"/>
          <w:noProof/>
          <w:kern w:val="0"/>
          <w:sz w:val="22"/>
        </w:rPr>
      </w:pPr>
      <w:hyperlink w:anchor="_Toc5959536" w:history="1">
        <w:r w:rsidR="002B64CB" w:rsidRPr="00B321EB">
          <w:rPr>
            <w:rStyle w:val="Hypertextovodkaz"/>
            <w:noProof/>
          </w:rPr>
          <w:t>1.5.1.1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Zaměření a cíle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_Toc5959536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11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4"/>
        <w:tabs>
          <w:tab w:val="left" w:pos="1786"/>
        </w:tabs>
        <w:rPr>
          <w:rFonts w:ascii="Calibri" w:hAnsi="Calibri"/>
          <w:noProof/>
          <w:kern w:val="0"/>
          <w:sz w:val="22"/>
        </w:rPr>
      </w:pPr>
      <w:hyperlink w:anchor="_Toc5959537" w:history="1">
        <w:r w:rsidR="002B64CB" w:rsidRPr="00B321EB">
          <w:rPr>
            <w:rStyle w:val="Hypertextovodkaz"/>
            <w:noProof/>
          </w:rPr>
          <w:t>1.5.1.2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Stručný popis tématu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_Toc5959537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12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3"/>
        <w:rPr>
          <w:rFonts w:ascii="Calibri" w:hAnsi="Calibri"/>
          <w:noProof/>
          <w:kern w:val="0"/>
          <w:sz w:val="22"/>
        </w:rPr>
      </w:pPr>
      <w:hyperlink w:anchor="_Toc5959538" w:history="1">
        <w:r w:rsidR="002B64CB" w:rsidRPr="00B321EB">
          <w:rPr>
            <w:rStyle w:val="Hypertextovodkaz"/>
            <w:noProof/>
          </w:rPr>
          <w:t>1.5.2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Téma 2: Biometan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_Toc5959538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12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4"/>
        <w:tabs>
          <w:tab w:val="left" w:pos="1786"/>
        </w:tabs>
        <w:rPr>
          <w:rFonts w:ascii="Calibri" w:hAnsi="Calibri"/>
          <w:noProof/>
          <w:kern w:val="0"/>
          <w:sz w:val="22"/>
        </w:rPr>
      </w:pPr>
      <w:hyperlink w:anchor="_Toc5959539" w:history="1">
        <w:r w:rsidR="002B64CB" w:rsidRPr="00B321EB">
          <w:rPr>
            <w:rStyle w:val="Hypertextovodkaz"/>
            <w:noProof/>
          </w:rPr>
          <w:t>1.5.2.1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Zaměření a cíle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_Toc5959539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12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4"/>
        <w:tabs>
          <w:tab w:val="left" w:pos="1786"/>
        </w:tabs>
        <w:rPr>
          <w:rFonts w:ascii="Calibri" w:hAnsi="Calibri"/>
          <w:noProof/>
          <w:kern w:val="0"/>
          <w:sz w:val="22"/>
        </w:rPr>
      </w:pPr>
      <w:hyperlink w:anchor="_Toc5959540" w:history="1">
        <w:r w:rsidR="002B64CB" w:rsidRPr="00B321EB">
          <w:rPr>
            <w:rStyle w:val="Hypertextovodkaz"/>
            <w:noProof/>
          </w:rPr>
          <w:t>1.5.2.2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Stručný popis tématu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_Toc5959540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13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3"/>
        <w:rPr>
          <w:rFonts w:ascii="Calibri" w:hAnsi="Calibri"/>
          <w:noProof/>
          <w:kern w:val="0"/>
          <w:sz w:val="22"/>
        </w:rPr>
      </w:pPr>
      <w:hyperlink w:anchor="_Toc5959541" w:history="1">
        <w:r w:rsidR="002B64CB" w:rsidRPr="00B321EB">
          <w:rPr>
            <w:rStyle w:val="Hypertextovodkaz"/>
            <w:noProof/>
          </w:rPr>
          <w:t>1.5.3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Téma 3: BioLPG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_Toc5959541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13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4"/>
        <w:tabs>
          <w:tab w:val="left" w:pos="1786"/>
        </w:tabs>
        <w:rPr>
          <w:rFonts w:ascii="Calibri" w:hAnsi="Calibri"/>
          <w:noProof/>
          <w:kern w:val="0"/>
          <w:sz w:val="22"/>
        </w:rPr>
      </w:pPr>
      <w:hyperlink w:anchor="_Toc5959542" w:history="1">
        <w:r w:rsidR="002B64CB" w:rsidRPr="00B321EB">
          <w:rPr>
            <w:rStyle w:val="Hypertextovodkaz"/>
            <w:noProof/>
          </w:rPr>
          <w:t>1.5.3.1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Zaměření a cíle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_Toc5959542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13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4"/>
        <w:tabs>
          <w:tab w:val="left" w:pos="1786"/>
        </w:tabs>
        <w:rPr>
          <w:rFonts w:ascii="Calibri" w:hAnsi="Calibri"/>
          <w:noProof/>
          <w:kern w:val="0"/>
          <w:sz w:val="22"/>
        </w:rPr>
      </w:pPr>
      <w:hyperlink w:anchor="_Toc5959543" w:history="1">
        <w:r w:rsidR="002B64CB" w:rsidRPr="00B321EB">
          <w:rPr>
            <w:rStyle w:val="Hypertextovodkaz"/>
            <w:noProof/>
          </w:rPr>
          <w:t>1.5.3.2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Stručný popis tématu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_Toc5959543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13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3"/>
        <w:rPr>
          <w:rFonts w:ascii="Calibri" w:hAnsi="Calibri"/>
          <w:noProof/>
          <w:kern w:val="0"/>
          <w:sz w:val="22"/>
        </w:rPr>
      </w:pPr>
      <w:hyperlink w:anchor="_Toc5959544" w:history="1">
        <w:r w:rsidR="002B64CB" w:rsidRPr="00B321EB">
          <w:rPr>
            <w:rStyle w:val="Hypertextovodkaz"/>
            <w:noProof/>
          </w:rPr>
          <w:t>1.5.4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Téma 4: Vodík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_Toc5959544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13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4"/>
        <w:tabs>
          <w:tab w:val="left" w:pos="1786"/>
        </w:tabs>
        <w:rPr>
          <w:rFonts w:ascii="Calibri" w:hAnsi="Calibri"/>
          <w:noProof/>
          <w:kern w:val="0"/>
          <w:sz w:val="22"/>
        </w:rPr>
      </w:pPr>
      <w:hyperlink w:anchor="_Toc5959545" w:history="1">
        <w:r w:rsidR="002B64CB" w:rsidRPr="00B321EB">
          <w:rPr>
            <w:rStyle w:val="Hypertextovodkaz"/>
            <w:noProof/>
          </w:rPr>
          <w:t>1.5.4.1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Zaměření a cíle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_Toc5959545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13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 w:rsidP="002B64CB">
      <w:pPr>
        <w:pStyle w:val="Obsah4"/>
        <w:tabs>
          <w:tab w:val="left" w:pos="1786"/>
        </w:tabs>
        <w:rPr>
          <w:rFonts w:ascii="Calibri" w:hAnsi="Calibri"/>
          <w:noProof/>
          <w:kern w:val="0"/>
          <w:sz w:val="22"/>
        </w:rPr>
      </w:pPr>
      <w:hyperlink w:anchor="_Toc5959546" w:history="1">
        <w:r w:rsidR="002B64CB" w:rsidRPr="00B321EB">
          <w:rPr>
            <w:rStyle w:val="Hypertextovodkaz"/>
            <w:noProof/>
          </w:rPr>
          <w:t>1.5.4.2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Stručný popis tématu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_Toc5959546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14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3"/>
        <w:rPr>
          <w:rFonts w:ascii="Calibri" w:hAnsi="Calibri"/>
          <w:noProof/>
          <w:kern w:val="0"/>
          <w:sz w:val="22"/>
        </w:rPr>
      </w:pPr>
      <w:hyperlink w:anchor="_Toc5959547" w:history="1">
        <w:r w:rsidR="002B64CB" w:rsidRPr="00B321EB">
          <w:rPr>
            <w:rStyle w:val="Hypertextovodkaz"/>
            <w:noProof/>
          </w:rPr>
          <w:t>1.5.5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Dílčí závěr a doporučení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_Toc5959547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14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2"/>
        <w:rPr>
          <w:rFonts w:ascii="Calibri" w:hAnsi="Calibri"/>
          <w:noProof/>
          <w:kern w:val="0"/>
          <w:sz w:val="22"/>
        </w:rPr>
      </w:pPr>
      <w:hyperlink w:anchor="_Toc5959548" w:history="1">
        <w:r w:rsidR="002B64CB" w:rsidRPr="00B321EB">
          <w:rPr>
            <w:rStyle w:val="Hypertextovodkaz"/>
            <w:bCs/>
            <w:noProof/>
          </w:rPr>
          <w:t>1.6</w:t>
        </w:r>
        <w:r w:rsidR="002B64CB" w:rsidRPr="00000606">
          <w:rPr>
            <w:rFonts w:ascii="Calibri" w:hAnsi="Calibri"/>
            <w:noProof/>
            <w:kern w:val="0"/>
            <w:sz w:val="22"/>
          </w:rPr>
          <w:tab/>
        </w:r>
        <w:r w:rsidR="002B64CB" w:rsidRPr="00B321EB">
          <w:rPr>
            <w:rStyle w:val="Hypertextovodkaz"/>
            <w:noProof/>
          </w:rPr>
          <w:t>Závěr kapitoly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_Toc5959548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14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2"/>
        <w:rPr>
          <w:rFonts w:ascii="Calibri" w:hAnsi="Calibri"/>
          <w:noProof/>
          <w:kern w:val="0"/>
          <w:sz w:val="22"/>
        </w:rPr>
      </w:pPr>
      <w:hyperlink w:anchor="_Toc5959549" w:history="1">
        <w:r w:rsidR="002B64CB" w:rsidRPr="00B321EB">
          <w:rPr>
            <w:rStyle w:val="Hypertextovodkaz"/>
            <w:noProof/>
          </w:rPr>
          <w:t>Příloha: Návrh na řízený sběr a nakládání s UCO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_Toc5959549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16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2"/>
        <w:rPr>
          <w:rFonts w:ascii="Calibri" w:hAnsi="Calibri"/>
          <w:noProof/>
          <w:kern w:val="0"/>
          <w:sz w:val="22"/>
        </w:rPr>
      </w:pPr>
      <w:hyperlink w:anchor="_Toc5959550" w:history="1">
        <w:r w:rsidR="002B64CB" w:rsidRPr="00B321EB">
          <w:rPr>
            <w:rStyle w:val="Hypertextovodkaz"/>
            <w:noProof/>
          </w:rPr>
          <w:t>Seznam zkratek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_Toc5959550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18</w:t>
        </w:r>
        <w:r w:rsidR="002B64CB">
          <w:rPr>
            <w:noProof/>
            <w:webHidden/>
          </w:rPr>
          <w:fldChar w:fldCharType="end"/>
        </w:r>
      </w:hyperlink>
    </w:p>
    <w:p w:rsidR="002B64CB" w:rsidRPr="00000606" w:rsidRDefault="00FA7253">
      <w:pPr>
        <w:pStyle w:val="Obsah2"/>
        <w:rPr>
          <w:rFonts w:ascii="Calibri" w:hAnsi="Calibri"/>
          <w:noProof/>
          <w:kern w:val="0"/>
          <w:sz w:val="22"/>
        </w:rPr>
      </w:pPr>
      <w:hyperlink w:anchor="_Toc5959551" w:history="1">
        <w:r w:rsidR="002B64CB" w:rsidRPr="00B321EB">
          <w:rPr>
            <w:rStyle w:val="Hypertextovodkaz"/>
            <w:noProof/>
          </w:rPr>
          <w:t>Seznam použité literatury</w:t>
        </w:r>
        <w:r w:rsidR="002B64CB">
          <w:rPr>
            <w:noProof/>
            <w:webHidden/>
          </w:rPr>
          <w:tab/>
        </w:r>
        <w:r w:rsidR="002B64CB">
          <w:rPr>
            <w:noProof/>
            <w:webHidden/>
          </w:rPr>
          <w:fldChar w:fldCharType="begin"/>
        </w:r>
        <w:r w:rsidR="002B64CB">
          <w:rPr>
            <w:noProof/>
            <w:webHidden/>
          </w:rPr>
          <w:instrText xml:space="preserve"> PAGEREF _Toc5959551 \h </w:instrText>
        </w:r>
        <w:r w:rsidR="002B64CB">
          <w:rPr>
            <w:noProof/>
            <w:webHidden/>
          </w:rPr>
        </w:r>
        <w:r w:rsidR="002B64CB">
          <w:rPr>
            <w:noProof/>
            <w:webHidden/>
          </w:rPr>
          <w:fldChar w:fldCharType="separate"/>
        </w:r>
        <w:r w:rsidR="002B64CB">
          <w:rPr>
            <w:noProof/>
            <w:webHidden/>
          </w:rPr>
          <w:t>19</w:t>
        </w:r>
        <w:r w:rsidR="002B64CB">
          <w:rPr>
            <w:noProof/>
            <w:webHidden/>
          </w:rPr>
          <w:fldChar w:fldCharType="end"/>
        </w:r>
      </w:hyperlink>
    </w:p>
    <w:p w:rsidR="00CA788D" w:rsidRPr="00000606" w:rsidRDefault="00A45491" w:rsidP="00717094">
      <w:pPr>
        <w:pStyle w:val="Odstavecseseznamem"/>
        <w:widowControl/>
        <w:tabs>
          <w:tab w:val="left" w:pos="284"/>
        </w:tabs>
        <w:spacing w:after="60"/>
        <w:ind w:left="0"/>
        <w:rPr>
          <w:rFonts w:ascii="Cambria" w:hAnsi="Cambria"/>
          <w:b/>
          <w:bCs/>
          <w:szCs w:val="24"/>
        </w:rPr>
      </w:pPr>
      <w:r w:rsidRPr="00000606">
        <w:rPr>
          <w:rFonts w:ascii="Cambria" w:hAnsi="Cambria"/>
          <w:b/>
          <w:bCs/>
          <w:szCs w:val="24"/>
        </w:rPr>
        <w:fldChar w:fldCharType="end"/>
      </w:r>
    </w:p>
    <w:p w:rsidR="00CA788D" w:rsidRPr="00BD6667" w:rsidRDefault="00CA788D">
      <w:pPr>
        <w:rPr>
          <w:rFonts w:ascii="Cambria" w:hAnsi="Cambria"/>
        </w:rPr>
      </w:pPr>
    </w:p>
    <w:p w:rsidR="00CA788D" w:rsidRPr="005A2CBE" w:rsidRDefault="00CA788D" w:rsidP="00717094">
      <w:pPr>
        <w:pStyle w:val="Odstavecseseznamem"/>
        <w:widowControl/>
        <w:tabs>
          <w:tab w:val="left" w:pos="284"/>
        </w:tabs>
        <w:spacing w:after="60"/>
        <w:ind w:left="0"/>
        <w:rPr>
          <w:b/>
          <w:bCs/>
        </w:rPr>
      </w:pPr>
    </w:p>
    <w:p w:rsidR="00CA788D" w:rsidRPr="005A2CBE" w:rsidRDefault="00CA788D" w:rsidP="00717094">
      <w:pPr>
        <w:pStyle w:val="Odstavecseseznamem"/>
        <w:widowControl/>
        <w:tabs>
          <w:tab w:val="left" w:pos="284"/>
        </w:tabs>
        <w:spacing w:after="60"/>
        <w:ind w:left="0"/>
        <w:rPr>
          <w:b/>
          <w:bCs/>
        </w:rPr>
      </w:pPr>
    </w:p>
    <w:p w:rsidR="00CA788D" w:rsidRPr="002B64CB" w:rsidRDefault="00CA788D" w:rsidP="002B64CB">
      <w:pPr>
        <w:pStyle w:val="Nadpis2"/>
        <w:numPr>
          <w:ilvl w:val="0"/>
          <w:numId w:val="29"/>
        </w:numPr>
        <w:ind w:hanging="720"/>
        <w:rPr>
          <w:b/>
        </w:rPr>
      </w:pPr>
      <w:r w:rsidRPr="005A2CBE">
        <w:rPr>
          <w:u w:val="single"/>
        </w:rPr>
        <w:br w:type="page"/>
      </w:r>
      <w:bookmarkStart w:id="0" w:name="_Toc5959523"/>
      <w:r w:rsidR="00D2122E" w:rsidRPr="002B64CB">
        <w:rPr>
          <w:b/>
        </w:rPr>
        <w:lastRenderedPageBreak/>
        <w:t>Oblast alternativní pohonné hmoty pro silniční dopravu</w:t>
      </w:r>
      <w:bookmarkEnd w:id="0"/>
    </w:p>
    <w:p w:rsidR="00FD1788" w:rsidRPr="00FD1788" w:rsidRDefault="00FD1788" w:rsidP="00D74D4A">
      <w:pPr>
        <w:pStyle w:val="Nadpis2"/>
        <w:numPr>
          <w:ilvl w:val="0"/>
          <w:numId w:val="19"/>
        </w:numPr>
        <w:ind w:left="567" w:hanging="567"/>
      </w:pPr>
      <w:bookmarkStart w:id="1" w:name="_Toc5881005"/>
      <w:bookmarkStart w:id="2" w:name="_Toc5959524"/>
      <w:r w:rsidRPr="006F244A">
        <w:t>Úvod</w:t>
      </w:r>
      <w:bookmarkEnd w:id="1"/>
      <w:bookmarkEnd w:id="2"/>
    </w:p>
    <w:p w:rsidR="00CA788D" w:rsidRPr="001F3F7B" w:rsidRDefault="00CA788D" w:rsidP="00434F4E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V Úředním věstníku EU byla dne 21.</w:t>
      </w:r>
      <w:r w:rsidR="00C01757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12.</w:t>
      </w:r>
      <w:r w:rsidR="00C01757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2018 zveřejněna Směrnice Evropského parlamentu a Rady (EU) 2018/2001 ze dne 11.</w:t>
      </w:r>
      <w:r w:rsidR="00812464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="002E71CC" w:rsidRPr="001F3F7B">
        <w:rPr>
          <w:rFonts w:ascii="Cambria" w:hAnsi="Cambria"/>
          <w:color w:val="000000"/>
          <w:kern w:val="0"/>
          <w:szCs w:val="24"/>
          <w:lang w:eastAsia="fr-FR"/>
        </w:rPr>
        <w:t>prosince</w:t>
      </w:r>
      <w:r w:rsidR="00812464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2018 o podpoře využívání energie z obnovitelných zdrojů (L328). Jedná se o text s významem pro EHP. Směrnice definuje cíle podpory využívání energie z OZE v členských státech pro období 2021 až 2030. Členské státy musí směrnici transponovat do národního práva do 30.</w:t>
      </w:r>
      <w:r w:rsidR="00434F4E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6.</w:t>
      </w:r>
      <w:r w:rsidR="00434F4E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2021. V ČR má transpozici zpracovat a projednat MPO.</w:t>
      </w:r>
    </w:p>
    <w:p w:rsidR="00CA788D" w:rsidRPr="001F3F7B" w:rsidRDefault="00CA788D" w:rsidP="00434F4E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V závěru roku 2018 Ministerstvo průmyslu a obchodu vložilo do připomínkovacího procesu koncepční materiál „Návrh vnitrostátního plánu </w:t>
      </w:r>
      <w:r w:rsidR="00732456" w:rsidRPr="001F3F7B">
        <w:rPr>
          <w:rFonts w:ascii="Cambria" w:hAnsi="Cambria"/>
          <w:color w:val="000000"/>
          <w:kern w:val="0"/>
          <w:szCs w:val="24"/>
          <w:lang w:eastAsia="fr-FR"/>
        </w:rPr>
        <w:t>České republiky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v oblasti energetiky a klimatu“ (prosinec 2018) a novelu zákona č.</w:t>
      </w:r>
      <w:r w:rsidR="00732456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165/2012</w:t>
      </w:r>
      <w:r w:rsidR="00434F4E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Sb., o podpoře obnovitelných zdrojů. Oba materiály mají význam pro uplatňování energie z OZE v podmínkách ČR.</w:t>
      </w:r>
    </w:p>
    <w:p w:rsidR="00CA788D" w:rsidRPr="001F3F7B" w:rsidRDefault="00CA788D" w:rsidP="00B2547C">
      <w:pPr>
        <w:spacing w:after="12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V souladu se směrnicí 2018/2001 a zmíněným materiálem byla aktualizována strategická výzkumná agenda alternativních pohonných hmot pro TPSD. Agenda je zaměřena na definici opatření ke splnění cílů v sektoru doprava.</w:t>
      </w:r>
    </w:p>
    <w:p w:rsidR="00CA788D" w:rsidRPr="00FD3BB7" w:rsidRDefault="00CA788D" w:rsidP="00D74D4A">
      <w:pPr>
        <w:pStyle w:val="Nadpis2"/>
        <w:numPr>
          <w:ilvl w:val="0"/>
          <w:numId w:val="19"/>
        </w:numPr>
        <w:ind w:left="567" w:hanging="567"/>
      </w:pPr>
      <w:bookmarkStart w:id="3" w:name="_Toc5881006"/>
      <w:bookmarkStart w:id="4" w:name="_Toc5959525"/>
      <w:r w:rsidRPr="00B2547C">
        <w:t>Hlavní</w:t>
      </w:r>
      <w:r w:rsidRPr="00FD3BB7">
        <w:t xml:space="preserve"> problémy výzkumu a vývoje v oblasti alternativních pohonných hmot pro silniční dopravu</w:t>
      </w:r>
      <w:bookmarkEnd w:id="3"/>
      <w:bookmarkEnd w:id="4"/>
    </w:p>
    <w:p w:rsidR="00CA788D" w:rsidRPr="001F3F7B" w:rsidRDefault="00CA788D" w:rsidP="00B2547C">
      <w:pPr>
        <w:spacing w:after="60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>Problémy výzkumu a vývoje technologií alternativních paliv v ČR se soustřeďují do vývoje vyspělých biopaliv a vodíku z bezemisních zdrojů.</w:t>
      </w:r>
    </w:p>
    <w:p w:rsidR="00CA788D" w:rsidRPr="001F3F7B" w:rsidRDefault="00CA788D" w:rsidP="00A00DC9">
      <w:pPr>
        <w:spacing w:after="40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>V současné době je k dispozici celá řada technologií výroby vyspělých paliv na bázi biomasy. Lze je rozdělit do základních skupin:</w:t>
      </w:r>
    </w:p>
    <w:p w:rsidR="00CA788D" w:rsidRPr="001F3F7B" w:rsidRDefault="00CA788D" w:rsidP="00D74D4A">
      <w:pPr>
        <w:numPr>
          <w:ilvl w:val="0"/>
          <w:numId w:val="8"/>
        </w:numPr>
        <w:ind w:left="357" w:hanging="357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 xml:space="preserve">hydrolýza celulózy a následná anaerobní fermentace na </w:t>
      </w:r>
      <w:proofErr w:type="spellStart"/>
      <w:r w:rsidRPr="001F3F7B">
        <w:rPr>
          <w:rFonts w:ascii="Cambria" w:hAnsi="Cambria"/>
          <w:szCs w:val="24"/>
          <w:lang w:eastAsia="fr-FR"/>
        </w:rPr>
        <w:t>bioalkoholy</w:t>
      </w:r>
      <w:proofErr w:type="spellEnd"/>
      <w:r w:rsidRPr="001F3F7B">
        <w:rPr>
          <w:rFonts w:ascii="Cambria" w:hAnsi="Cambria"/>
          <w:szCs w:val="24"/>
          <w:lang w:eastAsia="fr-FR"/>
        </w:rPr>
        <w:t xml:space="preserve"> a</w:t>
      </w:r>
      <w:r w:rsidR="004261E0" w:rsidRPr="001F3F7B">
        <w:rPr>
          <w:rFonts w:ascii="Cambria" w:hAnsi="Cambria"/>
          <w:szCs w:val="24"/>
          <w:lang w:eastAsia="fr-FR"/>
        </w:rPr>
        <w:t> </w:t>
      </w:r>
      <w:r w:rsidRPr="001F3F7B">
        <w:rPr>
          <w:rFonts w:ascii="Cambria" w:hAnsi="Cambria"/>
          <w:szCs w:val="24"/>
          <w:lang w:eastAsia="fr-FR"/>
        </w:rPr>
        <w:t>následně na syntetická paliva</w:t>
      </w:r>
    </w:p>
    <w:p w:rsidR="00CA788D" w:rsidRPr="001F3F7B" w:rsidRDefault="00CA788D" w:rsidP="00D74D4A">
      <w:pPr>
        <w:numPr>
          <w:ilvl w:val="0"/>
          <w:numId w:val="8"/>
        </w:numPr>
        <w:ind w:left="357" w:hanging="357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 xml:space="preserve">pyrolýza biomasy a na </w:t>
      </w:r>
      <w:r w:rsidR="004261E0" w:rsidRPr="001F3F7B">
        <w:rPr>
          <w:rFonts w:ascii="Cambria" w:hAnsi="Cambria"/>
          <w:szCs w:val="24"/>
          <w:lang w:eastAsia="fr-FR"/>
        </w:rPr>
        <w:t>syntézní</w:t>
      </w:r>
      <w:r w:rsidRPr="001F3F7B">
        <w:rPr>
          <w:rFonts w:ascii="Cambria" w:hAnsi="Cambria"/>
          <w:szCs w:val="24"/>
          <w:lang w:eastAsia="fr-FR"/>
        </w:rPr>
        <w:t xml:space="preserve"> plyn (směs oxidu uhličitého, uhelnatého a</w:t>
      </w:r>
      <w:r w:rsidR="004261E0" w:rsidRPr="001F3F7B">
        <w:rPr>
          <w:rFonts w:ascii="Cambria" w:hAnsi="Cambria"/>
          <w:szCs w:val="24"/>
          <w:lang w:eastAsia="fr-FR"/>
        </w:rPr>
        <w:t> </w:t>
      </w:r>
      <w:r w:rsidRPr="001F3F7B">
        <w:rPr>
          <w:rFonts w:ascii="Cambria" w:hAnsi="Cambria"/>
          <w:szCs w:val="24"/>
          <w:lang w:eastAsia="fr-FR"/>
        </w:rPr>
        <w:t>vodíku) s následnou FT syntézou na uhlovodíky</w:t>
      </w:r>
    </w:p>
    <w:p w:rsidR="00CA788D" w:rsidRPr="001F3F7B" w:rsidRDefault="00CA788D" w:rsidP="00D74D4A">
      <w:pPr>
        <w:numPr>
          <w:ilvl w:val="0"/>
          <w:numId w:val="8"/>
        </w:numPr>
        <w:ind w:left="357" w:hanging="357"/>
        <w:rPr>
          <w:rFonts w:ascii="Cambria" w:hAnsi="Cambria"/>
          <w:szCs w:val="24"/>
          <w:lang w:eastAsia="fr-FR"/>
        </w:rPr>
      </w:pPr>
      <w:proofErr w:type="spellStart"/>
      <w:r w:rsidRPr="001F3F7B">
        <w:rPr>
          <w:rFonts w:ascii="Cambria" w:hAnsi="Cambria"/>
          <w:szCs w:val="24"/>
          <w:lang w:eastAsia="fr-FR"/>
        </w:rPr>
        <w:t>hydrotermické</w:t>
      </w:r>
      <w:proofErr w:type="spellEnd"/>
      <w:r w:rsidRPr="001F3F7B">
        <w:rPr>
          <w:rFonts w:ascii="Cambria" w:hAnsi="Cambria"/>
          <w:szCs w:val="24"/>
          <w:lang w:eastAsia="fr-FR"/>
        </w:rPr>
        <w:t xml:space="preserve"> štěpení biomasy</w:t>
      </w:r>
    </w:p>
    <w:p w:rsidR="00CA788D" w:rsidRPr="001F3F7B" w:rsidRDefault="00CA788D" w:rsidP="00D74D4A">
      <w:pPr>
        <w:numPr>
          <w:ilvl w:val="0"/>
          <w:numId w:val="8"/>
        </w:numPr>
        <w:ind w:left="357" w:hanging="357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>technologie výroby a čištění BNG</w:t>
      </w:r>
    </w:p>
    <w:p w:rsidR="00CA788D" w:rsidRPr="001F3F7B" w:rsidRDefault="00CA788D" w:rsidP="00D74D4A">
      <w:pPr>
        <w:numPr>
          <w:ilvl w:val="0"/>
          <w:numId w:val="8"/>
        </w:numPr>
        <w:ind w:left="357" w:hanging="357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>výroba bioplynu ze zemědělského a lesního odpadu a komunálního odpadu</w:t>
      </w:r>
    </w:p>
    <w:p w:rsidR="00CA788D" w:rsidRPr="001F3F7B" w:rsidRDefault="00CA788D" w:rsidP="00D74D4A">
      <w:pPr>
        <w:numPr>
          <w:ilvl w:val="0"/>
          <w:numId w:val="8"/>
        </w:numPr>
        <w:ind w:left="357" w:hanging="357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>výroba alifatických a cyklických uhlovodíků katalytickou dezoxidací nepotravinářské biomasy</w:t>
      </w:r>
    </w:p>
    <w:p w:rsidR="00CA788D" w:rsidRPr="001F3F7B" w:rsidRDefault="00CA788D" w:rsidP="00D74D4A">
      <w:pPr>
        <w:numPr>
          <w:ilvl w:val="0"/>
          <w:numId w:val="8"/>
        </w:numPr>
        <w:spacing w:after="60"/>
        <w:ind w:left="357" w:hanging="357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>pyrolýza plastových a pryžových odpadů.</w:t>
      </w:r>
    </w:p>
    <w:p w:rsidR="00CA788D" w:rsidRPr="001F3F7B" w:rsidRDefault="00CA788D" w:rsidP="008F24B8">
      <w:pPr>
        <w:spacing w:after="60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>Detailní popis technologií je uveden v 1. etapě „Popis problémů současného stavu, oblast alternativních pohonných hmot“</w:t>
      </w:r>
      <w:r w:rsidR="008F24B8" w:rsidRPr="001F3F7B">
        <w:rPr>
          <w:rFonts w:ascii="Cambria" w:hAnsi="Cambria"/>
          <w:szCs w:val="24"/>
          <w:lang w:eastAsia="fr-FR"/>
        </w:rPr>
        <w:t>,</w:t>
      </w:r>
      <w:r w:rsidRPr="001F3F7B">
        <w:rPr>
          <w:rFonts w:ascii="Cambria" w:hAnsi="Cambria"/>
          <w:szCs w:val="24"/>
          <w:lang w:eastAsia="fr-FR"/>
        </w:rPr>
        <w:t xml:space="preserve"> březen 2018/TPSD. </w:t>
      </w:r>
    </w:p>
    <w:p w:rsidR="00CA788D" w:rsidRPr="001F3F7B" w:rsidRDefault="00CA788D" w:rsidP="008F24B8">
      <w:pPr>
        <w:spacing w:after="60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>Výzkum a vývoj je v oblasti alternativních paliv velmi složitý a časově a finančně náročný. Navíc je v tuzemsku roztříštěný a žádný centrální akční plán nestanovuje priority.</w:t>
      </w:r>
    </w:p>
    <w:p w:rsidR="00CA788D" w:rsidRPr="001F3F7B" w:rsidRDefault="00CA788D" w:rsidP="008F24B8">
      <w:pPr>
        <w:spacing w:after="60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 xml:space="preserve">Není dořešena surovinová základna, která může být pro některé technologie limitou. </w:t>
      </w:r>
    </w:p>
    <w:p w:rsidR="00CA788D" w:rsidRPr="001F3F7B" w:rsidRDefault="00CA788D" w:rsidP="005460CA">
      <w:pPr>
        <w:widowControl/>
        <w:spacing w:after="120"/>
        <w:rPr>
          <w:rFonts w:ascii="Cambria" w:hAnsi="Cambria"/>
          <w:szCs w:val="24"/>
          <w:lang w:eastAsia="fr-FR"/>
        </w:rPr>
      </w:pPr>
      <w:r w:rsidRPr="001F3F7B">
        <w:rPr>
          <w:rFonts w:ascii="Cambria" w:hAnsi="Cambria"/>
          <w:szCs w:val="24"/>
          <w:lang w:eastAsia="fr-FR"/>
        </w:rPr>
        <w:t>Prakticky všechny výrobní kapacity zpracování ropy jsou vlastněny společnost</w:t>
      </w:r>
      <w:r w:rsidR="008F24B8" w:rsidRPr="001F3F7B">
        <w:rPr>
          <w:rFonts w:ascii="Cambria" w:hAnsi="Cambria"/>
          <w:szCs w:val="24"/>
          <w:lang w:eastAsia="fr-FR"/>
        </w:rPr>
        <w:t>í</w:t>
      </w:r>
      <w:r w:rsidR="006E120F">
        <w:rPr>
          <w:rFonts w:ascii="Cambria" w:hAnsi="Cambria"/>
          <w:szCs w:val="24"/>
          <w:lang w:eastAsia="fr-FR"/>
        </w:rPr>
        <w:t xml:space="preserve"> UNIPETROL RPA.</w:t>
      </w:r>
      <w:r w:rsidRPr="001F3F7B">
        <w:rPr>
          <w:rFonts w:ascii="Cambria" w:hAnsi="Cambria"/>
          <w:szCs w:val="24"/>
          <w:lang w:eastAsia="fr-FR"/>
        </w:rPr>
        <w:t xml:space="preserve"> Pouze menší část pohonných hmot pro dopravu vyrábí společnost ČEPRO (100%</w:t>
      </w:r>
      <w:r w:rsidR="001F3F7B">
        <w:rPr>
          <w:rFonts w:ascii="Cambria" w:hAnsi="Cambria"/>
          <w:szCs w:val="24"/>
          <w:lang w:eastAsia="fr-FR"/>
        </w:rPr>
        <w:t> </w:t>
      </w:r>
      <w:r w:rsidRPr="001F3F7B">
        <w:rPr>
          <w:rFonts w:ascii="Cambria" w:hAnsi="Cambria"/>
          <w:szCs w:val="24"/>
          <w:lang w:eastAsia="fr-FR"/>
        </w:rPr>
        <w:t>vlastnictví státu)</w:t>
      </w:r>
      <w:r w:rsidR="008F24B8" w:rsidRPr="001F3F7B">
        <w:rPr>
          <w:rFonts w:ascii="Cambria" w:hAnsi="Cambria"/>
          <w:szCs w:val="24"/>
          <w:lang w:eastAsia="fr-FR"/>
        </w:rPr>
        <w:t>,</w:t>
      </w:r>
      <w:r w:rsidRPr="001F3F7B">
        <w:rPr>
          <w:rFonts w:ascii="Cambria" w:hAnsi="Cambria"/>
          <w:szCs w:val="24"/>
          <w:lang w:eastAsia="fr-FR"/>
        </w:rPr>
        <w:t xml:space="preserve"> avšak na základě mísení dovážených polotovarů. Cca 40</w:t>
      </w:r>
      <w:r w:rsidR="001F3F7B">
        <w:rPr>
          <w:rFonts w:ascii="Cambria" w:hAnsi="Cambria"/>
          <w:szCs w:val="24"/>
          <w:lang w:eastAsia="fr-FR"/>
        </w:rPr>
        <w:t> </w:t>
      </w:r>
      <w:r w:rsidRPr="001F3F7B">
        <w:rPr>
          <w:rFonts w:ascii="Cambria" w:hAnsi="Cambria"/>
          <w:szCs w:val="24"/>
          <w:lang w:eastAsia="fr-FR"/>
        </w:rPr>
        <w:t xml:space="preserve">% spotřeby pohonných hmot se dováží z okolních zemí jako je </w:t>
      </w:r>
      <w:r w:rsidR="008F24B8" w:rsidRPr="001F3F7B">
        <w:rPr>
          <w:rFonts w:ascii="Cambria" w:hAnsi="Cambria"/>
          <w:szCs w:val="24"/>
          <w:lang w:eastAsia="fr-FR"/>
        </w:rPr>
        <w:t>Slovensko</w:t>
      </w:r>
      <w:r w:rsidRPr="001F3F7B">
        <w:rPr>
          <w:rFonts w:ascii="Cambria" w:hAnsi="Cambria"/>
          <w:szCs w:val="24"/>
          <w:lang w:eastAsia="fr-FR"/>
        </w:rPr>
        <w:t>, SRN a</w:t>
      </w:r>
      <w:r w:rsidR="006E120F">
        <w:rPr>
          <w:rFonts w:ascii="Cambria" w:hAnsi="Cambria"/>
          <w:szCs w:val="24"/>
          <w:lang w:eastAsia="fr-FR"/>
        </w:rPr>
        <w:t> </w:t>
      </w:r>
      <w:r w:rsidR="008F24B8" w:rsidRPr="001F3F7B">
        <w:rPr>
          <w:rFonts w:ascii="Cambria" w:hAnsi="Cambria"/>
          <w:szCs w:val="24"/>
          <w:lang w:eastAsia="fr-FR"/>
        </w:rPr>
        <w:t>Rakousko</w:t>
      </w:r>
      <w:r w:rsidRPr="001F3F7B">
        <w:rPr>
          <w:rFonts w:ascii="Cambria" w:hAnsi="Cambria"/>
          <w:szCs w:val="24"/>
          <w:lang w:eastAsia="fr-FR"/>
        </w:rPr>
        <w:t xml:space="preserve">. To vše v podstatě určuje skutečnost, že i v daleké budoucnosti bude trh </w:t>
      </w:r>
      <w:r w:rsidRPr="001F3F7B">
        <w:rPr>
          <w:rFonts w:ascii="Cambria" w:hAnsi="Cambria"/>
          <w:szCs w:val="24"/>
          <w:lang w:eastAsia="fr-FR"/>
        </w:rPr>
        <w:lastRenderedPageBreak/>
        <w:t>závislý na dovozu vyspělých paliv</w:t>
      </w:r>
      <w:r w:rsidR="008F24B8" w:rsidRPr="001F3F7B">
        <w:rPr>
          <w:rFonts w:ascii="Cambria" w:hAnsi="Cambria"/>
          <w:szCs w:val="24"/>
          <w:lang w:eastAsia="fr-FR"/>
        </w:rPr>
        <w:t>,</w:t>
      </w:r>
      <w:r w:rsidRPr="001F3F7B">
        <w:rPr>
          <w:rFonts w:ascii="Cambria" w:hAnsi="Cambria"/>
          <w:szCs w:val="24"/>
          <w:lang w:eastAsia="fr-FR"/>
        </w:rPr>
        <w:t xml:space="preserve"> a to se všemi dopady na ekonomiku výroby a</w:t>
      </w:r>
      <w:r w:rsidR="006E120F">
        <w:rPr>
          <w:rFonts w:ascii="Cambria" w:hAnsi="Cambria"/>
          <w:szCs w:val="24"/>
          <w:lang w:eastAsia="fr-FR"/>
        </w:rPr>
        <w:t> </w:t>
      </w:r>
      <w:r w:rsidRPr="001F3F7B">
        <w:rPr>
          <w:rFonts w:ascii="Cambria" w:hAnsi="Cambria"/>
          <w:szCs w:val="24"/>
          <w:lang w:eastAsia="fr-FR"/>
        </w:rPr>
        <w:t>distribuce paliv pro dopravu.</w:t>
      </w:r>
    </w:p>
    <w:p w:rsidR="00CA788D" w:rsidRPr="00767104" w:rsidRDefault="00CA788D" w:rsidP="00D74D4A">
      <w:pPr>
        <w:pStyle w:val="Nadpis2"/>
        <w:numPr>
          <w:ilvl w:val="0"/>
          <w:numId w:val="19"/>
        </w:numPr>
        <w:ind w:left="567" w:hanging="567"/>
      </w:pPr>
      <w:bookmarkStart w:id="5" w:name="_Toc5881007"/>
      <w:bookmarkStart w:id="6" w:name="_Toc5959526"/>
      <w:r w:rsidRPr="00767104">
        <w:t>Vize budoucího stavu v roce 2030</w:t>
      </w:r>
      <w:bookmarkEnd w:id="5"/>
      <w:bookmarkEnd w:id="6"/>
    </w:p>
    <w:p w:rsidR="00CA788D" w:rsidRPr="001F3F7B" w:rsidRDefault="00CA788D" w:rsidP="00537BAF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Vize budoucího stavu pro energii z obnovitelných zdrojů energie do roku 2030 je v současné době definována cíl</w:t>
      </w:r>
      <w:r w:rsidR="00537BAF" w:rsidRPr="001F3F7B">
        <w:rPr>
          <w:rFonts w:ascii="Cambria" w:hAnsi="Cambria"/>
          <w:color w:val="000000"/>
          <w:kern w:val="0"/>
          <w:szCs w:val="24"/>
          <w:lang w:eastAsia="fr-FR"/>
        </w:rPr>
        <w:t>i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zveřejněnými ve směrnici Evropského parlamentu a</w:t>
      </w:r>
      <w:r w:rsid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Rady (EU) 2018/2001 o podpoře využívání energie z obnovitelných zdrojů. Členské země musí cíle transponovat do tuzemské legislativy.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Shrnutí cílů: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Celkový závazný cíl energie z OZE pro EU do roku 2030 je 32 %. 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Cíle</w:t>
      </w:r>
      <w:r w:rsidR="00EA3524" w:rsidRPr="001F3F7B">
        <w:rPr>
          <w:rFonts w:ascii="Cambria" w:hAnsi="Cambria"/>
          <w:color w:val="000000"/>
          <w:kern w:val="0"/>
          <w:szCs w:val="24"/>
          <w:lang w:eastAsia="fr-FR"/>
        </w:rPr>
        <w:t>m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v sektoru dopravy pro ČR v roce 2030 je 14</w:t>
      </w:r>
      <w:r w:rsidR="00EA3524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% energie z OZE na celkové konečné spotřebě energie v dopravě včetně zahrnutí biopaliv 1. generace. EK má možnost do roku 2023 přezkoumat tento cíl, případně ho zvýšit. 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Cíle </w:t>
      </w:r>
      <w:r w:rsidR="00B5719C"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1. 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generace biopaliv. Výše příspěvku </w:t>
      </w:r>
      <w:r w:rsidR="00B5719C" w:rsidRPr="001F3F7B">
        <w:rPr>
          <w:rFonts w:ascii="Cambria" w:hAnsi="Cambria"/>
          <w:color w:val="000000"/>
          <w:kern w:val="0"/>
          <w:szCs w:val="24"/>
          <w:lang w:eastAsia="fr-FR"/>
        </w:rPr>
        <w:t>biopaliv 1.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generace v roce 2030 se může rovnat příspěvku těchto biopaliv jako v roce 2020 s možným navýšením o</w:t>
      </w:r>
      <w:r w:rsidR="00B5719C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1</w:t>
      </w:r>
      <w:r w:rsidR="00B5719C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%, avšak příspěvek může být nejvýše 7 % hrubé konečné spotřeby. V případě, že příspěvek </w:t>
      </w:r>
      <w:r w:rsidR="00B5719C"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biopaliv 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1. generace v členském státě je omezen na podíl nižší</w:t>
      </w:r>
      <w:r w:rsidR="00B5719C" w:rsidRPr="001F3F7B">
        <w:rPr>
          <w:rFonts w:ascii="Cambria" w:hAnsi="Cambria"/>
          <w:color w:val="000000"/>
          <w:kern w:val="0"/>
          <w:szCs w:val="24"/>
          <w:lang w:eastAsia="fr-FR"/>
        </w:rPr>
        <w:t>,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než je 7 %</w:t>
      </w:r>
      <w:r w:rsidR="00B5719C" w:rsidRPr="001F3F7B">
        <w:rPr>
          <w:rFonts w:ascii="Cambria" w:hAnsi="Cambria"/>
          <w:color w:val="000000"/>
          <w:kern w:val="0"/>
          <w:szCs w:val="24"/>
          <w:lang w:eastAsia="fr-FR"/>
        </w:rPr>
        <w:t>,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může členský stát snížit celkový podíl energie z OZE v dopravě. 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Cíle pro pokročilá biopaliva a bioplyn uvedených v části A přílohy IX </w:t>
      </w:r>
      <w:r w:rsidRPr="006E120F">
        <w:rPr>
          <w:rFonts w:ascii="Cambria" w:hAnsi="Cambria"/>
          <w:color w:val="000000"/>
          <w:kern w:val="0"/>
          <w:szCs w:val="24"/>
          <w:lang w:eastAsia="fr-FR"/>
        </w:rPr>
        <w:t>směrnice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j</w:t>
      </w:r>
      <w:r w:rsidR="00B5719C" w:rsidRPr="001F3F7B">
        <w:rPr>
          <w:rFonts w:ascii="Cambria" w:hAnsi="Cambria"/>
          <w:color w:val="000000"/>
          <w:kern w:val="0"/>
          <w:szCs w:val="24"/>
          <w:lang w:eastAsia="fr-FR"/>
        </w:rPr>
        <w:t>sou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0,2 %</w:t>
      </w:r>
      <w:r w:rsidR="00B5719C"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v roce 2022, 1 % v roce </w:t>
      </w:r>
      <w:smartTag w:uri="urn:schemas-microsoft-com:office:smarttags" w:element="metricconverter">
        <w:smartTagPr>
          <w:attr w:name="ProductID" w:val="2025 a"/>
        </w:smartTagPr>
        <w:r w:rsidRPr="001F3F7B">
          <w:rPr>
            <w:rFonts w:ascii="Cambria" w:hAnsi="Cambria"/>
            <w:color w:val="000000"/>
            <w:kern w:val="0"/>
            <w:szCs w:val="24"/>
            <w:lang w:eastAsia="fr-FR"/>
          </w:rPr>
          <w:t>2025 a</w:t>
        </w:r>
      </w:smartTag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3,5 % v roce 2030.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Dvojí započítávání některých biopaliv a bioplynu je možné, pokud biopaliva a</w:t>
      </w:r>
      <w:r w:rsidR="003D5FB3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bioplyn byly vyrobeny ze surovin uvedených </w:t>
      </w:r>
      <w:r w:rsidRPr="006E120F">
        <w:rPr>
          <w:rFonts w:ascii="Cambria" w:hAnsi="Cambria"/>
          <w:color w:val="000000"/>
          <w:kern w:val="0"/>
          <w:szCs w:val="24"/>
          <w:lang w:eastAsia="fr-FR"/>
        </w:rPr>
        <w:t>v</w:t>
      </w:r>
      <w:r w:rsidR="00295525" w:rsidRPr="006E120F">
        <w:rPr>
          <w:rFonts w:ascii="Cambria" w:hAnsi="Cambria"/>
          <w:color w:val="000000"/>
          <w:kern w:val="0"/>
          <w:szCs w:val="24"/>
          <w:lang w:eastAsia="fr-FR"/>
        </w:rPr>
        <w:t> částech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A </w:t>
      </w:r>
      <w:proofErr w:type="spellStart"/>
      <w:r w:rsidRPr="001F3F7B">
        <w:rPr>
          <w:rFonts w:ascii="Cambria" w:hAnsi="Cambria"/>
          <w:color w:val="000000"/>
          <w:kern w:val="0"/>
          <w:szCs w:val="24"/>
          <w:lang w:eastAsia="fr-FR"/>
        </w:rPr>
        <w:t>a</w:t>
      </w:r>
      <w:proofErr w:type="spellEnd"/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B </w:t>
      </w:r>
      <w:r w:rsidR="00295525" w:rsidRPr="006E120F">
        <w:rPr>
          <w:rFonts w:ascii="Cambria" w:hAnsi="Cambria"/>
          <w:color w:val="000000"/>
          <w:kern w:val="0"/>
          <w:szCs w:val="24"/>
          <w:lang w:eastAsia="fr-FR"/>
        </w:rPr>
        <w:t>přílohy</w:t>
      </w:r>
      <w:r w:rsidR="003D5FB3" w:rsidRPr="006E120F">
        <w:rPr>
          <w:rFonts w:ascii="Cambria" w:hAnsi="Cambria"/>
          <w:color w:val="000000"/>
          <w:kern w:val="0"/>
          <w:szCs w:val="24"/>
          <w:lang w:eastAsia="fr-FR"/>
        </w:rPr>
        <w:t xml:space="preserve"> </w:t>
      </w:r>
      <w:r w:rsidRPr="006E120F">
        <w:rPr>
          <w:rFonts w:ascii="Cambria" w:hAnsi="Cambria"/>
          <w:color w:val="000000"/>
          <w:kern w:val="0"/>
          <w:szCs w:val="24"/>
          <w:lang w:eastAsia="fr-FR"/>
        </w:rPr>
        <w:t>IX směrnice</w:t>
      </w:r>
      <w:r w:rsidR="003D5FB3"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2015/1513.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Pro výpočet čitatele se příspěvek z biopaliv a bioplynu vyrobeného ze vstupních surovin uvedených v části B přílohy IX (zahrnuje UCO a živočišné tuky) omezuje na 1,7</w:t>
      </w:r>
      <w:r w:rsid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>% energetického obsahu.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Pro započtení násobitelů pro elektřinu z OZE platí: u železnice je násobitel 1,5</w:t>
      </w:r>
      <w:r w:rsidR="001A3FE6" w:rsidRPr="001F3F7B">
        <w:rPr>
          <w:rFonts w:ascii="Cambria" w:hAnsi="Cambria"/>
          <w:color w:val="000000"/>
          <w:kern w:val="0"/>
          <w:szCs w:val="24"/>
          <w:lang w:eastAsia="fr-FR"/>
        </w:rPr>
        <w:t>,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u</w:t>
      </w:r>
      <w:r w:rsidR="001A3FE6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silniční dopravy je násobitel 4. Pro výpočet se používá národní mix podílu energie z OZE. 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Snížení emisí skleníkových plynů ze spalování PHM zůstává na úrovni 6 %.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EK má možnost v průběhu 2021 až 2030 cíle zvýšit. </w:t>
      </w:r>
    </w:p>
    <w:p w:rsidR="00CA788D" w:rsidRPr="001F3F7B" w:rsidRDefault="00CA788D" w:rsidP="00EA3524">
      <w:pPr>
        <w:spacing w:after="6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Cíle musí splnit povinné osoby</w:t>
      </w:r>
      <w:r w:rsidR="001A3FE6" w:rsidRPr="001F3F7B">
        <w:rPr>
          <w:rFonts w:ascii="Cambria" w:hAnsi="Cambria"/>
          <w:color w:val="000000"/>
          <w:kern w:val="0"/>
          <w:szCs w:val="24"/>
          <w:lang w:eastAsia="fr-FR"/>
        </w:rPr>
        <w:t>,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 tedy EU, členské země a dodavatelé benzinu a</w:t>
      </w:r>
      <w:r w:rsidR="001A3FE6" w:rsidRPr="001F3F7B">
        <w:rPr>
          <w:rFonts w:ascii="Cambria" w:hAnsi="Cambria"/>
          <w:color w:val="000000"/>
          <w:kern w:val="0"/>
          <w:szCs w:val="24"/>
          <w:lang w:eastAsia="fr-FR"/>
        </w:rPr>
        <w:t> </w:t>
      </w:r>
      <w:r w:rsidRPr="001F3F7B">
        <w:rPr>
          <w:rFonts w:ascii="Cambria" w:hAnsi="Cambria"/>
          <w:color w:val="000000"/>
          <w:kern w:val="0"/>
          <w:szCs w:val="24"/>
          <w:lang w:eastAsia="fr-FR"/>
        </w:rPr>
        <w:t xml:space="preserve">motorové nafty. </w:t>
      </w:r>
    </w:p>
    <w:p w:rsidR="00CA788D" w:rsidRPr="001F3F7B" w:rsidRDefault="00CA788D" w:rsidP="00191483">
      <w:pPr>
        <w:spacing w:after="120"/>
        <w:rPr>
          <w:rFonts w:ascii="Cambria" w:hAnsi="Cambria"/>
          <w:color w:val="000000"/>
          <w:kern w:val="0"/>
          <w:szCs w:val="24"/>
          <w:lang w:eastAsia="fr-FR"/>
        </w:rPr>
      </w:pPr>
      <w:r w:rsidRPr="001F3F7B">
        <w:rPr>
          <w:rFonts w:ascii="Cambria" w:hAnsi="Cambria"/>
          <w:color w:val="000000"/>
          <w:kern w:val="0"/>
          <w:szCs w:val="24"/>
          <w:lang w:eastAsia="fr-FR"/>
        </w:rPr>
        <w:t>V legislativě existuje určité technologické a obchodní omezení plnění cílů dané směrnicí 2018/2001 a specifickými národními podmínkami.</w:t>
      </w:r>
    </w:p>
    <w:p w:rsidR="006256B5" w:rsidRPr="00191483" w:rsidRDefault="00CA788D" w:rsidP="00D74D4A">
      <w:pPr>
        <w:pStyle w:val="Nadpis2"/>
        <w:numPr>
          <w:ilvl w:val="0"/>
          <w:numId w:val="19"/>
        </w:numPr>
        <w:ind w:left="567" w:hanging="567"/>
      </w:pPr>
      <w:bookmarkStart w:id="7" w:name="_Toc5881008"/>
      <w:bookmarkStart w:id="8" w:name="_Toc5959527"/>
      <w:r w:rsidRPr="00191483">
        <w:t>Základní charakteristika legislativy k RED II</w:t>
      </w:r>
      <w:bookmarkEnd w:id="7"/>
      <w:bookmarkEnd w:id="8"/>
    </w:p>
    <w:p w:rsidR="00CA788D" w:rsidRPr="00A949BD" w:rsidRDefault="00CA788D" w:rsidP="006B713B">
      <w:pPr>
        <w:pStyle w:val="Nadpis3"/>
        <w:ind w:left="624" w:hanging="624"/>
      </w:pPr>
      <w:bookmarkStart w:id="9" w:name="_Toc5881009"/>
      <w:bookmarkStart w:id="10" w:name="_Toc5959528"/>
      <w:r w:rsidRPr="00A949BD">
        <w:t xml:space="preserve">Cíle a </w:t>
      </w:r>
      <w:r w:rsidRPr="004B3167">
        <w:t>obsah</w:t>
      </w:r>
      <w:r w:rsidRPr="00A949BD">
        <w:t xml:space="preserve"> směrnice Evropského parlamentu a Rady (EU) 2018/2001 o</w:t>
      </w:r>
      <w:r w:rsidR="004B3167">
        <w:t> </w:t>
      </w:r>
      <w:r w:rsidRPr="00A949BD">
        <w:t>podpoře využívání energie z obnovitelných zdrojů</w:t>
      </w:r>
      <w:bookmarkEnd w:id="9"/>
      <w:bookmarkEnd w:id="10"/>
    </w:p>
    <w:p w:rsidR="00CA788D" w:rsidRPr="00CB1C4E" w:rsidRDefault="00CA788D" w:rsidP="002D4282">
      <w:pPr>
        <w:pStyle w:val="Odstavecseseznamem"/>
        <w:widowControl/>
        <w:tabs>
          <w:tab w:val="left" w:pos="284"/>
        </w:tabs>
        <w:spacing w:after="20"/>
        <w:ind w:left="0"/>
        <w:contextualSpacing w:val="0"/>
        <w:rPr>
          <w:rFonts w:ascii="Cambria" w:hAnsi="Cambria"/>
          <w:szCs w:val="24"/>
          <w:u w:val="single"/>
        </w:rPr>
      </w:pPr>
      <w:r w:rsidRPr="00CB1C4E">
        <w:rPr>
          <w:rFonts w:ascii="Cambria" w:hAnsi="Cambria"/>
          <w:szCs w:val="24"/>
          <w:u w:val="single"/>
        </w:rPr>
        <w:t>Výchozí základna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Směrnice vychází z „Rámce politiky v oblasti klimatu a energetiky do roku 2030“ z roku 2014. Významně pozměňuje směrnici Evropského parlamentu a Rady 2009/28/ES. V oblasti energetiky aplikuje „Pařížskou dohodu o klimatu z roku 2015“. Stanoví časový horizont účinnosti na období 2021 až 2030. Zveřejněna byla v Úředním věstníku EU dne 11.</w:t>
      </w:r>
      <w:r w:rsidR="004B3167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12.</w:t>
      </w:r>
      <w:r w:rsidR="004B3167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 xml:space="preserve">2018. Členské státy mají povinnost </w:t>
      </w:r>
      <w:r w:rsidR="004B3167" w:rsidRPr="00CB1C4E">
        <w:rPr>
          <w:rFonts w:ascii="Cambria" w:hAnsi="Cambria"/>
          <w:szCs w:val="24"/>
        </w:rPr>
        <w:t>transponovat</w:t>
      </w:r>
      <w:r w:rsidRPr="00CB1C4E">
        <w:rPr>
          <w:rFonts w:ascii="Cambria" w:hAnsi="Cambria"/>
          <w:szCs w:val="24"/>
        </w:rPr>
        <w:t xml:space="preserve"> směrnici do tuzemské </w:t>
      </w:r>
      <w:r w:rsidRPr="00CB1C4E">
        <w:rPr>
          <w:rFonts w:ascii="Cambria" w:hAnsi="Cambria"/>
          <w:szCs w:val="24"/>
        </w:rPr>
        <w:lastRenderedPageBreak/>
        <w:t>legislativy do 30.</w:t>
      </w:r>
      <w:r w:rsidR="004B3167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6.</w:t>
      </w:r>
      <w:r w:rsidR="004B3167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2021. Směrnice k 1.</w:t>
      </w:r>
      <w:r w:rsidR="004B3167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7.</w:t>
      </w:r>
      <w:r w:rsidR="004B3167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2021 ruší převážnou část směrnice 2009/28/ES.</w:t>
      </w:r>
    </w:p>
    <w:p w:rsidR="00CA788D" w:rsidRPr="00CB1C4E" w:rsidRDefault="00CA788D" w:rsidP="002D4282">
      <w:pPr>
        <w:pStyle w:val="Odstavecseseznamem"/>
        <w:widowControl/>
        <w:tabs>
          <w:tab w:val="left" w:pos="284"/>
        </w:tabs>
        <w:spacing w:after="20"/>
        <w:ind w:left="0"/>
        <w:contextualSpacing w:val="0"/>
        <w:rPr>
          <w:rFonts w:ascii="Cambria" w:hAnsi="Cambria"/>
          <w:szCs w:val="24"/>
          <w:u w:val="single"/>
        </w:rPr>
      </w:pPr>
      <w:r w:rsidRPr="00CB1C4E">
        <w:rPr>
          <w:rFonts w:ascii="Cambria" w:hAnsi="Cambria"/>
          <w:szCs w:val="24"/>
          <w:u w:val="single"/>
        </w:rPr>
        <w:t xml:space="preserve">Obsah </w:t>
      </w:r>
    </w:p>
    <w:p w:rsidR="00CA788D" w:rsidRPr="00CB1C4E" w:rsidRDefault="00CA788D" w:rsidP="00CB1C4E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Řeší zvýšení produkce a užití energie na bázi obnovitelných zdrojů energie, snížení emisí skleníkových plynů ze spalování pohonných hmot a paliv a zvýšení energetické účinnosti. Věcně se týká výroby elektrické energie z obnovitelných zdrojů, vytápění a</w:t>
      </w:r>
      <w:r w:rsidR="004B3167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 xml:space="preserve">chlazení a dopravy. Definuje pojmy energie na bázi OZE. </w:t>
      </w:r>
    </w:p>
    <w:p w:rsidR="00CA788D" w:rsidRPr="00CB1C4E" w:rsidRDefault="00CA788D" w:rsidP="002D4282">
      <w:pPr>
        <w:pStyle w:val="Odstavecseseznamem"/>
        <w:widowControl/>
        <w:tabs>
          <w:tab w:val="left" w:pos="284"/>
        </w:tabs>
        <w:spacing w:after="20"/>
        <w:ind w:left="0"/>
        <w:contextualSpacing w:val="0"/>
        <w:rPr>
          <w:rFonts w:ascii="Cambria" w:hAnsi="Cambria"/>
          <w:szCs w:val="24"/>
          <w:u w:val="single"/>
        </w:rPr>
      </w:pPr>
      <w:r w:rsidRPr="00CB1C4E">
        <w:rPr>
          <w:rFonts w:ascii="Cambria" w:hAnsi="Cambria"/>
          <w:szCs w:val="24"/>
          <w:u w:val="single"/>
        </w:rPr>
        <w:t xml:space="preserve">Unijní cíle 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n</w:t>
      </w:r>
      <w:r w:rsidR="00CA788D" w:rsidRPr="00CB1C4E">
        <w:rPr>
          <w:rFonts w:ascii="Cambria" w:hAnsi="Cambria"/>
          <w:szCs w:val="24"/>
        </w:rPr>
        <w:t>ahradit 32</w:t>
      </w:r>
      <w:r w:rsidR="00040585" w:rsidRPr="00CB1C4E">
        <w:rPr>
          <w:rFonts w:ascii="Cambria" w:hAnsi="Cambria"/>
          <w:szCs w:val="24"/>
        </w:rPr>
        <w:t> </w:t>
      </w:r>
      <w:r w:rsidR="00CA788D" w:rsidRPr="00CB1C4E">
        <w:rPr>
          <w:rFonts w:ascii="Cambria" w:hAnsi="Cambria"/>
          <w:szCs w:val="24"/>
        </w:rPr>
        <w:t>% fosilní energie energií z OZE. EK může v roce 2023 zvýšení povinnosti revidovat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v</w:t>
      </w:r>
      <w:r w:rsidR="00CA788D" w:rsidRPr="00CB1C4E">
        <w:rPr>
          <w:rFonts w:ascii="Cambria" w:hAnsi="Cambria"/>
          <w:szCs w:val="24"/>
        </w:rPr>
        <w:t>ytvořit finanční rámec pro usnadnění investičních projektů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z</w:t>
      </w:r>
      <w:r w:rsidR="00CA788D" w:rsidRPr="00CB1C4E">
        <w:rPr>
          <w:rFonts w:ascii="Cambria" w:hAnsi="Cambria"/>
          <w:szCs w:val="24"/>
        </w:rPr>
        <w:t>ajistit výměnu osvědčených postupů mezi celostátními a regionálními orgány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a</w:t>
      </w:r>
      <w:r w:rsidR="00CA788D" w:rsidRPr="00CB1C4E">
        <w:rPr>
          <w:rFonts w:ascii="Cambria" w:hAnsi="Cambria"/>
          <w:szCs w:val="24"/>
        </w:rPr>
        <w:t>nalyzovat dostupné zdroje biomasy a hierarchii využívání a ukládání odpadů v členských zemích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n</w:t>
      </w:r>
      <w:r w:rsidR="00CA788D" w:rsidRPr="00CB1C4E">
        <w:rPr>
          <w:rFonts w:ascii="Cambria" w:hAnsi="Cambria"/>
          <w:szCs w:val="24"/>
        </w:rPr>
        <w:t>apomáhat organizaci přeshraniční spolupráce a pomoci při plnění cílů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z</w:t>
      </w:r>
      <w:r w:rsidR="00CA788D" w:rsidRPr="00CB1C4E">
        <w:rPr>
          <w:rFonts w:ascii="Cambria" w:hAnsi="Cambria"/>
          <w:szCs w:val="24"/>
        </w:rPr>
        <w:t>amezit nadměrn</w:t>
      </w:r>
      <w:r w:rsidRPr="00CB1C4E">
        <w:rPr>
          <w:rFonts w:ascii="Cambria" w:hAnsi="Cambria"/>
          <w:szCs w:val="24"/>
        </w:rPr>
        <w:t>ému</w:t>
      </w:r>
      <w:r w:rsidR="00CA788D" w:rsidRPr="00CB1C4E">
        <w:rPr>
          <w:rFonts w:ascii="Cambria" w:hAnsi="Cambria"/>
          <w:szCs w:val="24"/>
        </w:rPr>
        <w:t xml:space="preserve"> dovoz</w:t>
      </w:r>
      <w:r w:rsidRPr="00CB1C4E">
        <w:rPr>
          <w:rFonts w:ascii="Cambria" w:hAnsi="Cambria"/>
          <w:szCs w:val="24"/>
        </w:rPr>
        <w:t>u</w:t>
      </w:r>
      <w:r w:rsidR="00CA788D" w:rsidRPr="00CB1C4E">
        <w:rPr>
          <w:rFonts w:ascii="Cambria" w:hAnsi="Cambria"/>
          <w:szCs w:val="24"/>
        </w:rPr>
        <w:t xml:space="preserve"> obnovitelných zdrojů z třetích zemí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d</w:t>
      </w:r>
      <w:r w:rsidR="00CA788D" w:rsidRPr="00CB1C4E">
        <w:rPr>
          <w:rFonts w:ascii="Cambria" w:hAnsi="Cambria"/>
          <w:szCs w:val="24"/>
        </w:rPr>
        <w:t>o 25.</w:t>
      </w:r>
      <w:r w:rsidRPr="00CB1C4E">
        <w:rPr>
          <w:rFonts w:ascii="Cambria" w:hAnsi="Cambria"/>
          <w:szCs w:val="24"/>
        </w:rPr>
        <w:t> </w:t>
      </w:r>
      <w:r w:rsidR="00CA788D" w:rsidRPr="00CB1C4E">
        <w:rPr>
          <w:rFonts w:ascii="Cambria" w:hAnsi="Cambria"/>
          <w:szCs w:val="24"/>
        </w:rPr>
        <w:t>6.</w:t>
      </w:r>
      <w:r w:rsidRPr="00CB1C4E">
        <w:rPr>
          <w:rFonts w:ascii="Cambria" w:hAnsi="Cambria"/>
          <w:szCs w:val="24"/>
        </w:rPr>
        <w:t> </w:t>
      </w:r>
      <w:r w:rsidR="00CA788D" w:rsidRPr="00CB1C4E">
        <w:rPr>
          <w:rFonts w:ascii="Cambria" w:hAnsi="Cambria"/>
          <w:szCs w:val="24"/>
        </w:rPr>
        <w:t>2019 a každé další dva roky má Komise vyhodnotit a případně doplnit seznam surovin v příloze IX</w:t>
      </w:r>
      <w:r w:rsidRPr="00CB1C4E">
        <w:rPr>
          <w:rFonts w:ascii="Cambria" w:hAnsi="Cambria"/>
          <w:szCs w:val="24"/>
        </w:rPr>
        <w:t xml:space="preserve">, </w:t>
      </w:r>
      <w:r w:rsidR="00CA788D" w:rsidRPr="00CB1C4E">
        <w:rPr>
          <w:rFonts w:ascii="Cambria" w:hAnsi="Cambria"/>
          <w:szCs w:val="24"/>
        </w:rPr>
        <w:t xml:space="preserve">část A </w:t>
      </w:r>
      <w:proofErr w:type="spellStart"/>
      <w:r w:rsidR="00CA788D" w:rsidRPr="00CB1C4E">
        <w:rPr>
          <w:rFonts w:ascii="Cambria" w:hAnsi="Cambria"/>
          <w:szCs w:val="24"/>
        </w:rPr>
        <w:t>a</w:t>
      </w:r>
      <w:proofErr w:type="spellEnd"/>
      <w:r w:rsidR="00CA788D" w:rsidRPr="00CB1C4E">
        <w:rPr>
          <w:rFonts w:ascii="Cambria" w:hAnsi="Cambria"/>
          <w:szCs w:val="24"/>
        </w:rPr>
        <w:t xml:space="preserve"> B</w:t>
      </w:r>
      <w:r w:rsidRPr="00CB1C4E">
        <w:rPr>
          <w:rFonts w:ascii="Cambria" w:hAnsi="Cambria"/>
          <w:szCs w:val="24"/>
        </w:rPr>
        <w:t>,</w:t>
      </w:r>
      <w:r w:rsidR="00CA788D" w:rsidRPr="00CB1C4E">
        <w:rPr>
          <w:rFonts w:ascii="Cambria" w:hAnsi="Cambria"/>
          <w:szCs w:val="24"/>
        </w:rPr>
        <w:t xml:space="preserve"> směrnice 2015/1513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s</w:t>
      </w:r>
      <w:r w:rsidR="00CA788D" w:rsidRPr="00CB1C4E">
        <w:rPr>
          <w:rFonts w:ascii="Cambria" w:hAnsi="Cambria"/>
          <w:szCs w:val="24"/>
        </w:rPr>
        <w:t>tanovit transparentní a jednoznačná pravidla pro výpočet podílu energie z</w:t>
      </w:r>
      <w:r w:rsidRPr="00CB1C4E">
        <w:rPr>
          <w:rFonts w:ascii="Cambria" w:hAnsi="Cambria"/>
          <w:szCs w:val="24"/>
        </w:rPr>
        <w:t> </w:t>
      </w:r>
      <w:r w:rsidR="00CA788D" w:rsidRPr="00CB1C4E">
        <w:rPr>
          <w:rFonts w:ascii="Cambria" w:hAnsi="Cambria"/>
          <w:szCs w:val="24"/>
        </w:rPr>
        <w:t>OZE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z</w:t>
      </w:r>
      <w:r w:rsidR="00CA788D" w:rsidRPr="00CB1C4E">
        <w:rPr>
          <w:rFonts w:ascii="Cambria" w:hAnsi="Cambria"/>
          <w:szCs w:val="24"/>
        </w:rPr>
        <w:t xml:space="preserve">aložit </w:t>
      </w:r>
      <w:r w:rsidR="006E120F" w:rsidRPr="006E120F">
        <w:rPr>
          <w:rFonts w:ascii="Cambria" w:hAnsi="Cambria"/>
          <w:szCs w:val="24"/>
        </w:rPr>
        <w:t>p</w:t>
      </w:r>
      <w:r w:rsidR="00CA788D" w:rsidRPr="006E120F">
        <w:rPr>
          <w:rFonts w:ascii="Cambria" w:hAnsi="Cambria"/>
          <w:szCs w:val="24"/>
        </w:rPr>
        <w:t xml:space="preserve">latformu </w:t>
      </w:r>
      <w:r w:rsidR="006E120F" w:rsidRPr="006E120F">
        <w:rPr>
          <w:rFonts w:ascii="Cambria" w:hAnsi="Cambria"/>
          <w:szCs w:val="24"/>
        </w:rPr>
        <w:t>EU</w:t>
      </w:r>
      <w:r w:rsidR="00CA788D" w:rsidRPr="00CB1C4E">
        <w:rPr>
          <w:rFonts w:ascii="Cambria" w:hAnsi="Cambria"/>
          <w:szCs w:val="24"/>
        </w:rPr>
        <w:t xml:space="preserve"> pro rozvoj energie z OZE s cílem výměny informací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o</w:t>
      </w:r>
      <w:r w:rsidR="00CA788D" w:rsidRPr="00CB1C4E">
        <w:rPr>
          <w:rFonts w:ascii="Cambria" w:hAnsi="Cambria"/>
          <w:szCs w:val="24"/>
        </w:rPr>
        <w:t>rganizovat poskytování poradenství pro energii z OZE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z</w:t>
      </w:r>
      <w:r w:rsidR="00CA788D" w:rsidRPr="00CB1C4E">
        <w:rPr>
          <w:rFonts w:ascii="Cambria" w:hAnsi="Cambria"/>
          <w:szCs w:val="24"/>
        </w:rPr>
        <w:t>pracovat ucelený návrh nákladově a technicky neutrální politiky investic do udržitelných biopaliv po roce 2020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z</w:t>
      </w:r>
      <w:r w:rsidR="00CA788D" w:rsidRPr="00CB1C4E">
        <w:rPr>
          <w:rFonts w:ascii="Cambria" w:hAnsi="Cambria"/>
          <w:szCs w:val="24"/>
        </w:rPr>
        <w:t xml:space="preserve">řídit </w:t>
      </w:r>
      <w:r w:rsidRPr="00CB1C4E">
        <w:rPr>
          <w:rFonts w:ascii="Cambria" w:hAnsi="Cambria"/>
          <w:szCs w:val="24"/>
        </w:rPr>
        <w:t>u</w:t>
      </w:r>
      <w:r w:rsidR="00CA788D" w:rsidRPr="00CB1C4E">
        <w:rPr>
          <w:rFonts w:ascii="Cambria" w:hAnsi="Cambria"/>
          <w:szCs w:val="24"/>
        </w:rPr>
        <w:t>nijní databázi udržitelných biopaliv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v</w:t>
      </w:r>
      <w:r w:rsidR="00CA788D" w:rsidRPr="00CB1C4E">
        <w:rPr>
          <w:rFonts w:ascii="Cambria" w:hAnsi="Cambria"/>
          <w:szCs w:val="24"/>
        </w:rPr>
        <w:t>ytvořit pravila pro správné postupy prokazování původu paliv</w:t>
      </w:r>
    </w:p>
    <w:p w:rsidR="00CA788D" w:rsidRPr="00CB1C4E" w:rsidRDefault="00417EFE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spacing w:after="60"/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p</w:t>
      </w:r>
      <w:r w:rsidR="00CA788D" w:rsidRPr="00CB1C4E">
        <w:rPr>
          <w:rFonts w:ascii="Cambria" w:hAnsi="Cambria"/>
          <w:szCs w:val="24"/>
        </w:rPr>
        <w:t>odporovat vznik „dobrovolných mezinárodních a vnitrostátních režimů pro výrobu udržitelných paliv“</w:t>
      </w:r>
      <w:r w:rsidRPr="00CB1C4E">
        <w:rPr>
          <w:rFonts w:ascii="Cambria" w:hAnsi="Cambria"/>
          <w:szCs w:val="24"/>
        </w:rPr>
        <w:t>.</w:t>
      </w:r>
    </w:p>
    <w:p w:rsidR="00CA788D" w:rsidRPr="00CB1C4E" w:rsidRDefault="00CA788D" w:rsidP="002D4282">
      <w:pPr>
        <w:pStyle w:val="Odstavecseseznamem"/>
        <w:widowControl/>
        <w:tabs>
          <w:tab w:val="left" w:pos="284"/>
        </w:tabs>
        <w:spacing w:after="20"/>
        <w:ind w:left="0"/>
        <w:contextualSpacing w:val="0"/>
        <w:rPr>
          <w:rFonts w:ascii="Cambria" w:hAnsi="Cambria"/>
          <w:szCs w:val="24"/>
          <w:u w:val="single"/>
        </w:rPr>
      </w:pPr>
      <w:r w:rsidRPr="00CB1C4E">
        <w:rPr>
          <w:rFonts w:ascii="Cambria" w:hAnsi="Cambria"/>
          <w:szCs w:val="24"/>
          <w:u w:val="single"/>
        </w:rPr>
        <w:t xml:space="preserve">Cíle členských zemí </w:t>
      </w:r>
      <w:r w:rsidR="00DE4E0A">
        <w:rPr>
          <w:rFonts w:ascii="Cambria" w:hAnsi="Cambria"/>
          <w:szCs w:val="24"/>
          <w:u w:val="single"/>
        </w:rPr>
        <w:t>vč. ČR</w:t>
      </w:r>
    </w:p>
    <w:p w:rsidR="00CA788D" w:rsidRPr="00CB1C4E" w:rsidRDefault="00CA788D" w:rsidP="0073153E">
      <w:pPr>
        <w:spacing w:after="6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 xml:space="preserve">Nahradit v sektoru dopravy min. 14 % energie z fosilních paliv energií z OZE. Uloženo dodavatelům automobilových benzinů a motorové nafty. 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Zavést do portfolia paliv pro silniční dopravu vyspělá biopaliva min</w:t>
      </w:r>
      <w:r w:rsidR="009F5562">
        <w:rPr>
          <w:rFonts w:ascii="Cambria" w:hAnsi="Cambria"/>
          <w:szCs w:val="24"/>
        </w:rPr>
        <w:t>.</w:t>
      </w:r>
      <w:r w:rsidRPr="00CB1C4E">
        <w:rPr>
          <w:rFonts w:ascii="Cambria" w:hAnsi="Cambria"/>
          <w:szCs w:val="24"/>
        </w:rPr>
        <w:t xml:space="preserve"> 0,2 % v roce 2022, 1</w:t>
      </w:r>
      <w:r w:rsidR="0073153E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 xml:space="preserve">% v roce 2025 a 3,5 % v roce 2030. Uloženo dodavatelům benzinů a motorové nafty.  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 xml:space="preserve">Vypracovat </w:t>
      </w:r>
      <w:r w:rsidR="0073153E" w:rsidRPr="00CB1C4E">
        <w:rPr>
          <w:rFonts w:ascii="Cambria" w:hAnsi="Cambria"/>
          <w:szCs w:val="24"/>
        </w:rPr>
        <w:t>a</w:t>
      </w:r>
      <w:r w:rsidRPr="00CB1C4E">
        <w:rPr>
          <w:rFonts w:ascii="Cambria" w:hAnsi="Cambria"/>
          <w:szCs w:val="24"/>
        </w:rPr>
        <w:t>kční plány pro energii z</w:t>
      </w:r>
      <w:r w:rsidR="0073153E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OZE</w:t>
      </w:r>
      <w:r w:rsidR="0073153E" w:rsidRPr="00CB1C4E">
        <w:rPr>
          <w:rFonts w:ascii="Cambria" w:hAnsi="Cambria"/>
          <w:szCs w:val="24"/>
        </w:rPr>
        <w:t>.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Zavést limit používání biopaliv I. generace vyrobených z potravinářských nebo krmných plodin. Uloženo dodavatelům benzinů a motorové nafty.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Vytvořit podmínky pro podporu elektromobility.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 xml:space="preserve">Podporovat výrobu paliv recyklací </w:t>
      </w:r>
      <w:r w:rsidR="00BD17A1">
        <w:rPr>
          <w:rFonts w:ascii="Cambria" w:hAnsi="Cambria"/>
          <w:szCs w:val="24"/>
        </w:rPr>
        <w:t>plastů a pryže</w:t>
      </w:r>
      <w:r w:rsidRPr="00CB1C4E">
        <w:rPr>
          <w:rFonts w:ascii="Cambria" w:hAnsi="Cambria"/>
          <w:szCs w:val="24"/>
        </w:rPr>
        <w:t xml:space="preserve">. 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Usilovat o zlepšení krit</w:t>
      </w:r>
      <w:r w:rsidR="0073153E" w:rsidRPr="00CB1C4E">
        <w:rPr>
          <w:rFonts w:ascii="Cambria" w:hAnsi="Cambria"/>
          <w:szCs w:val="24"/>
        </w:rPr>
        <w:t>é</w:t>
      </w:r>
      <w:r w:rsidRPr="00CB1C4E">
        <w:rPr>
          <w:rFonts w:ascii="Cambria" w:hAnsi="Cambria"/>
          <w:szCs w:val="24"/>
        </w:rPr>
        <w:t xml:space="preserve">rií udržitelnosti </w:t>
      </w:r>
      <w:r w:rsidR="006E120F">
        <w:rPr>
          <w:rFonts w:ascii="Cambria" w:hAnsi="Cambria"/>
          <w:szCs w:val="24"/>
        </w:rPr>
        <w:t>vyspělých</w:t>
      </w:r>
      <w:r w:rsidRPr="00CB1C4E">
        <w:rPr>
          <w:rFonts w:ascii="Cambria" w:hAnsi="Cambria"/>
          <w:szCs w:val="24"/>
        </w:rPr>
        <w:t xml:space="preserve"> paliv a napomáhat výraznému snížení emisí skleníkových </w:t>
      </w:r>
      <w:r w:rsidR="0073153E" w:rsidRPr="006E120F">
        <w:rPr>
          <w:rFonts w:ascii="Cambria" w:hAnsi="Cambria"/>
          <w:szCs w:val="24"/>
        </w:rPr>
        <w:t>plynů</w:t>
      </w:r>
      <w:r w:rsidR="006E120F" w:rsidRPr="006E120F">
        <w:rPr>
          <w:rFonts w:ascii="Cambria" w:hAnsi="Cambria"/>
          <w:szCs w:val="24"/>
        </w:rPr>
        <w:t>.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Usilovat o zvýšení uplatnění udržitelných zdrojů energie v sektoru chlazení a vytápění, které představuje cca 50 % energetické spotřeby.</w:t>
      </w:r>
    </w:p>
    <w:p w:rsidR="00CA788D" w:rsidRPr="00CB1C4E" w:rsidRDefault="006E120F" w:rsidP="002D4282">
      <w:pPr>
        <w:pStyle w:val="Odstavecseseznamem"/>
        <w:widowControl/>
        <w:tabs>
          <w:tab w:val="left" w:pos="284"/>
        </w:tabs>
        <w:spacing w:after="20"/>
        <w:ind w:left="0"/>
        <w:contextualSpacing w:val="0"/>
        <w:rPr>
          <w:rFonts w:ascii="Cambria" w:hAnsi="Cambria"/>
          <w:szCs w:val="24"/>
          <w:u w:val="single"/>
        </w:rPr>
      </w:pPr>
      <w:r>
        <w:rPr>
          <w:rFonts w:ascii="Cambria" w:hAnsi="Cambria"/>
          <w:szCs w:val="24"/>
          <w:u w:val="single"/>
        </w:rPr>
        <w:br w:type="page"/>
      </w:r>
      <w:r w:rsidR="00CA788D" w:rsidRPr="00CB1C4E">
        <w:rPr>
          <w:rFonts w:ascii="Cambria" w:hAnsi="Cambria"/>
          <w:szCs w:val="24"/>
          <w:u w:val="single"/>
        </w:rPr>
        <w:lastRenderedPageBreak/>
        <w:t xml:space="preserve">Všeobecné rozšíření energie z obnovitelných zdrojů v odvětví dopravy 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V roce 2030 musí činit podíl energie z obnovitelných zdrojů na konečné spotřebě energie v odvětví dopravy alespoň 14</w:t>
      </w:r>
      <w:r w:rsidR="0073153E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 xml:space="preserve">% energetického obsahu. </w:t>
      </w:r>
      <w:r w:rsidR="0073153E" w:rsidRPr="00CB1C4E">
        <w:rPr>
          <w:rFonts w:ascii="Cambria" w:hAnsi="Cambria"/>
          <w:szCs w:val="24"/>
        </w:rPr>
        <w:t>Evropská k</w:t>
      </w:r>
      <w:r w:rsidRPr="00CB1C4E">
        <w:rPr>
          <w:rFonts w:ascii="Cambria" w:hAnsi="Cambria"/>
          <w:szCs w:val="24"/>
        </w:rPr>
        <w:t>omise má do roku 2023 předložit návrh na zpřísnění. Pro výpočet minimálního podílu mohou být zohledněna kapalná a plynná paliva z obnovitelných zdrojů nebiologického původu používaná v odvětví dopravy a mohou být zohledněna recyklovaná paliva s obsahem uhlíku. V rámci plnění cílů musí dodavatelé benzinů a motorové nafty zajistit příspěvek pokročilých paliv a bioplynu vyrobených ze surovin</w:t>
      </w:r>
      <w:r w:rsidR="00EF399D" w:rsidRPr="00CB1C4E">
        <w:rPr>
          <w:rFonts w:ascii="Cambria" w:hAnsi="Cambria"/>
          <w:szCs w:val="24"/>
        </w:rPr>
        <w:t>,</w:t>
      </w:r>
      <w:r w:rsidRPr="00CB1C4E">
        <w:rPr>
          <w:rFonts w:ascii="Cambria" w:hAnsi="Cambria"/>
          <w:szCs w:val="24"/>
        </w:rPr>
        <w:t xml:space="preserve"> uvedených v příloze IX</w:t>
      </w:r>
      <w:r w:rsidR="00EF399D" w:rsidRPr="00CB1C4E">
        <w:rPr>
          <w:rFonts w:ascii="Cambria" w:hAnsi="Cambria"/>
          <w:szCs w:val="24"/>
        </w:rPr>
        <w:t>,</w:t>
      </w:r>
      <w:r w:rsidRPr="00CB1C4E">
        <w:rPr>
          <w:rFonts w:ascii="Cambria" w:hAnsi="Cambria"/>
          <w:szCs w:val="24"/>
        </w:rPr>
        <w:t xml:space="preserve"> část A</w:t>
      </w:r>
      <w:r w:rsidR="00EF399D" w:rsidRPr="00CB1C4E">
        <w:rPr>
          <w:rFonts w:ascii="Cambria" w:hAnsi="Cambria"/>
          <w:szCs w:val="24"/>
        </w:rPr>
        <w:t xml:space="preserve">, </w:t>
      </w:r>
      <w:r w:rsidRPr="00CB1C4E">
        <w:rPr>
          <w:rFonts w:ascii="Cambria" w:hAnsi="Cambria"/>
          <w:szCs w:val="24"/>
        </w:rPr>
        <w:t xml:space="preserve">vyjádřený jako podíl na konečné spotřebě energie v odvětví dopravy tak, </w:t>
      </w:r>
      <w:r w:rsidR="00EF399D" w:rsidRPr="00CB1C4E">
        <w:rPr>
          <w:rFonts w:ascii="Cambria" w:hAnsi="Cambria"/>
          <w:szCs w:val="24"/>
        </w:rPr>
        <w:t>aby představoval</w:t>
      </w:r>
      <w:r w:rsidRPr="00CB1C4E">
        <w:rPr>
          <w:rFonts w:ascii="Cambria" w:hAnsi="Cambria"/>
          <w:szCs w:val="24"/>
        </w:rPr>
        <w:t xml:space="preserve"> v roce 2022 alespoň 0,2 %, v roce 2025 alespoň 1 % a v roce 2030 alespoň 3,5 %. Kapalná a plynná paliva z obnovitelných zdrojů nebiologického původu použitá v dopravě od 1.</w:t>
      </w:r>
      <w:r w:rsidR="00EF399D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1.</w:t>
      </w:r>
      <w:r w:rsidR="00EF399D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 xml:space="preserve">2021 musí dosáhnout alespoň 70 </w:t>
      </w:r>
      <w:r w:rsidR="00EF399D" w:rsidRPr="00CB1C4E">
        <w:rPr>
          <w:rFonts w:ascii="Cambria" w:hAnsi="Cambria"/>
          <w:szCs w:val="24"/>
        </w:rPr>
        <w:t>% udržitelnosti</w:t>
      </w:r>
      <w:r w:rsidRPr="00CB1C4E">
        <w:rPr>
          <w:rFonts w:ascii="Cambria" w:hAnsi="Cambria"/>
          <w:szCs w:val="24"/>
        </w:rPr>
        <w:t xml:space="preserve">. Podíl biopaliv, </w:t>
      </w:r>
      <w:proofErr w:type="spellStart"/>
      <w:r w:rsidRPr="00CB1C4E">
        <w:rPr>
          <w:rFonts w:ascii="Cambria" w:hAnsi="Cambria"/>
          <w:szCs w:val="24"/>
        </w:rPr>
        <w:t>biokapalin</w:t>
      </w:r>
      <w:proofErr w:type="spellEnd"/>
      <w:r w:rsidRPr="00CB1C4E">
        <w:rPr>
          <w:rFonts w:ascii="Cambria" w:hAnsi="Cambria"/>
          <w:szCs w:val="24"/>
        </w:rPr>
        <w:t xml:space="preserve"> a paliv vyrobených z biomasy v dopravě, jsou-li vyrobeny z potravinářských a</w:t>
      </w:r>
      <w:r w:rsidR="00EF399D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krmných plodin</w:t>
      </w:r>
      <w:r w:rsidR="00EF399D" w:rsidRPr="00CB1C4E">
        <w:rPr>
          <w:rFonts w:ascii="Cambria" w:hAnsi="Cambria"/>
          <w:szCs w:val="24"/>
        </w:rPr>
        <w:t>,</w:t>
      </w:r>
      <w:r w:rsidRPr="00CB1C4E">
        <w:rPr>
          <w:rFonts w:ascii="Cambria" w:hAnsi="Cambria"/>
          <w:szCs w:val="24"/>
        </w:rPr>
        <w:t xml:space="preserve"> nesmí být větší než o 1</w:t>
      </w:r>
      <w:r w:rsidR="00EF399D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% v roce 2020 s tím, že podíl konečné spotřeby energie představuje nejvýše 7 %. V období od 31.</w:t>
      </w:r>
      <w:r w:rsidR="00EF399D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12.</w:t>
      </w:r>
      <w:r w:rsidR="00EF399D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2023</w:t>
      </w:r>
      <w:r w:rsidR="00EF399D" w:rsidRPr="00CB1C4E">
        <w:rPr>
          <w:rFonts w:ascii="Cambria" w:hAnsi="Cambria"/>
          <w:szCs w:val="24"/>
        </w:rPr>
        <w:t>,</w:t>
      </w:r>
      <w:r w:rsidRPr="00CB1C4E">
        <w:rPr>
          <w:rFonts w:ascii="Cambria" w:hAnsi="Cambria"/>
          <w:szCs w:val="24"/>
        </w:rPr>
        <w:t xml:space="preserve"> nejpozději do 31.</w:t>
      </w:r>
      <w:r w:rsidR="00EF399D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12.</w:t>
      </w:r>
      <w:r w:rsidR="00EF399D" w:rsidRPr="00CB1C4E">
        <w:rPr>
          <w:rFonts w:ascii="Cambria" w:hAnsi="Cambria"/>
          <w:szCs w:val="24"/>
        </w:rPr>
        <w:t> </w:t>
      </w:r>
      <w:r w:rsidR="00546B87" w:rsidRPr="00CB1C4E">
        <w:rPr>
          <w:rFonts w:ascii="Cambria" w:hAnsi="Cambria"/>
          <w:szCs w:val="24"/>
        </w:rPr>
        <w:t>2030, musí</w:t>
      </w:r>
      <w:r w:rsidRPr="00CB1C4E">
        <w:rPr>
          <w:rFonts w:ascii="Cambria" w:hAnsi="Cambria"/>
          <w:szCs w:val="24"/>
        </w:rPr>
        <w:t xml:space="preserve"> tato hodnota klesnout na 0 %. </w:t>
      </w:r>
    </w:p>
    <w:p w:rsidR="00CA788D" w:rsidRPr="00CB1C4E" w:rsidRDefault="00CA788D" w:rsidP="002D4282">
      <w:pPr>
        <w:pStyle w:val="Odstavecseseznamem"/>
        <w:widowControl/>
        <w:tabs>
          <w:tab w:val="left" w:pos="284"/>
        </w:tabs>
        <w:spacing w:after="20"/>
        <w:ind w:left="0"/>
        <w:contextualSpacing w:val="0"/>
        <w:rPr>
          <w:rFonts w:ascii="Cambria" w:hAnsi="Cambria"/>
          <w:szCs w:val="24"/>
          <w:u w:val="single"/>
        </w:rPr>
      </w:pPr>
      <w:r w:rsidRPr="00CB1C4E">
        <w:rPr>
          <w:rFonts w:ascii="Cambria" w:hAnsi="Cambria"/>
          <w:szCs w:val="24"/>
          <w:u w:val="single"/>
        </w:rPr>
        <w:t>Pravidla</w:t>
      </w:r>
      <w:r w:rsidR="00546B87" w:rsidRPr="00CB1C4E">
        <w:rPr>
          <w:rFonts w:ascii="Cambria" w:hAnsi="Cambria"/>
          <w:szCs w:val="24"/>
          <w:u w:val="single"/>
        </w:rPr>
        <w:t xml:space="preserve"> </w:t>
      </w:r>
      <w:r w:rsidRPr="00CB1C4E">
        <w:rPr>
          <w:rFonts w:ascii="Cambria" w:hAnsi="Cambria"/>
          <w:szCs w:val="24"/>
          <w:u w:val="single"/>
        </w:rPr>
        <w:t>výpočtu s ohledem na minimální podíly energie z obnovitelných zdrojů v odvětví dopravy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K prokázání splnění minimálního podílu OZE může být podíl biopaliv a bioplynu pro dopravu vyrobených ze surovin uvedených v příloze IX započítán jako dvojnásobek jejich energetického obsahu a podíl elektřiny z OZE jako čtyřnásobek, je-li dodávána silničním vozidlům</w:t>
      </w:r>
      <w:r w:rsidR="0058779E" w:rsidRPr="00CB1C4E">
        <w:rPr>
          <w:rFonts w:ascii="Cambria" w:hAnsi="Cambria"/>
          <w:szCs w:val="24"/>
        </w:rPr>
        <w:t>.</w:t>
      </w:r>
    </w:p>
    <w:p w:rsidR="00CA788D" w:rsidRPr="00CB1C4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Do 31.</w:t>
      </w:r>
      <w:r w:rsidR="0016289F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12.</w:t>
      </w:r>
      <w:r w:rsidR="0016289F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 xml:space="preserve">2021 musí členské státy přijmout opatření k zajištění dostupnosti paliv z OZE pro odvětví dopravy v souladu se směrnicí 2014/94/EU. </w:t>
      </w:r>
    </w:p>
    <w:p w:rsidR="0016289F" w:rsidRPr="00CB1C4E" w:rsidRDefault="00CA788D" w:rsidP="00B83349">
      <w:pPr>
        <w:pStyle w:val="Odstavecseseznamem"/>
        <w:widowControl/>
        <w:tabs>
          <w:tab w:val="left" w:pos="284"/>
        </w:tabs>
        <w:spacing w:after="40"/>
        <w:ind w:left="0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 xml:space="preserve">Energie z biopaliv, </w:t>
      </w:r>
      <w:proofErr w:type="spellStart"/>
      <w:r w:rsidRPr="00CB1C4E">
        <w:rPr>
          <w:rFonts w:ascii="Cambria" w:hAnsi="Cambria"/>
          <w:szCs w:val="24"/>
        </w:rPr>
        <w:t>biokapalin</w:t>
      </w:r>
      <w:proofErr w:type="spellEnd"/>
      <w:r w:rsidRPr="00CB1C4E">
        <w:rPr>
          <w:rFonts w:ascii="Cambria" w:hAnsi="Cambria"/>
          <w:szCs w:val="24"/>
        </w:rPr>
        <w:t xml:space="preserve"> a paliv z biomasy může být zohledněna pouze pokud splňují krit</w:t>
      </w:r>
      <w:r w:rsidR="0016289F" w:rsidRPr="00CB1C4E">
        <w:rPr>
          <w:rFonts w:ascii="Cambria" w:hAnsi="Cambria"/>
          <w:szCs w:val="24"/>
        </w:rPr>
        <w:t>é</w:t>
      </w:r>
      <w:r w:rsidRPr="00CB1C4E">
        <w:rPr>
          <w:rFonts w:ascii="Cambria" w:hAnsi="Cambria"/>
          <w:szCs w:val="24"/>
        </w:rPr>
        <w:t>ria udržitelnosti a krit</w:t>
      </w:r>
      <w:r w:rsidR="0016289F" w:rsidRPr="00CB1C4E">
        <w:rPr>
          <w:rFonts w:ascii="Cambria" w:hAnsi="Cambria"/>
          <w:szCs w:val="24"/>
        </w:rPr>
        <w:t>é</w:t>
      </w:r>
      <w:r w:rsidRPr="00CB1C4E">
        <w:rPr>
          <w:rFonts w:ascii="Cambria" w:hAnsi="Cambria"/>
          <w:szCs w:val="24"/>
        </w:rPr>
        <w:t xml:space="preserve">ria emisí skleníkových plynů takto: </w:t>
      </w:r>
    </w:p>
    <w:p w:rsidR="008C6F1A" w:rsidRPr="00CB1C4E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alespoň 50 % v</w:t>
      </w:r>
      <w:r w:rsidR="00B83349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zařízeních</w:t>
      </w:r>
      <w:r w:rsidR="00B83349" w:rsidRPr="00CB1C4E">
        <w:rPr>
          <w:rFonts w:ascii="Cambria" w:hAnsi="Cambria"/>
          <w:szCs w:val="24"/>
        </w:rPr>
        <w:t>,</w:t>
      </w:r>
      <w:r w:rsidRPr="00CB1C4E">
        <w:rPr>
          <w:rFonts w:ascii="Cambria" w:hAnsi="Cambria"/>
          <w:szCs w:val="24"/>
        </w:rPr>
        <w:t xml:space="preserve"> </w:t>
      </w:r>
      <w:r w:rsidR="00B83349" w:rsidRPr="00CB1C4E">
        <w:rPr>
          <w:rFonts w:ascii="Cambria" w:hAnsi="Cambria"/>
          <w:szCs w:val="24"/>
        </w:rPr>
        <w:t>která</w:t>
      </w:r>
      <w:r w:rsidRPr="00CB1C4E">
        <w:rPr>
          <w:rFonts w:ascii="Cambria" w:hAnsi="Cambria"/>
          <w:szCs w:val="24"/>
        </w:rPr>
        <w:t xml:space="preserve"> byla v provozu do 5.</w:t>
      </w:r>
      <w:r w:rsidR="00A446EC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10.</w:t>
      </w:r>
      <w:r w:rsidR="00A446EC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2015 nebo dříve</w:t>
      </w:r>
    </w:p>
    <w:p w:rsidR="008C6F1A" w:rsidRPr="00CB1C4E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alespoň 60 % v</w:t>
      </w:r>
      <w:r w:rsidR="008C6F1A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zařízeních</w:t>
      </w:r>
      <w:r w:rsidR="008C6F1A" w:rsidRPr="00CB1C4E">
        <w:rPr>
          <w:rFonts w:ascii="Cambria" w:hAnsi="Cambria"/>
          <w:szCs w:val="24"/>
        </w:rPr>
        <w:t>,</w:t>
      </w:r>
      <w:r w:rsidRPr="00CB1C4E">
        <w:rPr>
          <w:rFonts w:ascii="Cambria" w:hAnsi="Cambria"/>
          <w:szCs w:val="24"/>
        </w:rPr>
        <w:t xml:space="preserve"> jejichž provoz byl zahájen od 6.</w:t>
      </w:r>
      <w:r w:rsidR="008C6F1A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10.</w:t>
      </w:r>
      <w:r w:rsidR="008C6F1A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2015 do 31.</w:t>
      </w:r>
      <w:r w:rsidR="008C6F1A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12.</w:t>
      </w:r>
      <w:r w:rsidR="008C6F1A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2020</w:t>
      </w:r>
    </w:p>
    <w:p w:rsidR="00CA788D" w:rsidRPr="00CB1C4E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spacing w:after="120"/>
        <w:ind w:left="284" w:hanging="284"/>
        <w:contextualSpacing w:val="0"/>
        <w:rPr>
          <w:rFonts w:ascii="Cambria" w:hAnsi="Cambria"/>
          <w:szCs w:val="24"/>
        </w:rPr>
      </w:pPr>
      <w:r w:rsidRPr="00CB1C4E">
        <w:rPr>
          <w:rFonts w:ascii="Cambria" w:hAnsi="Cambria"/>
          <w:szCs w:val="24"/>
        </w:rPr>
        <w:t>alespoň 65 % v</w:t>
      </w:r>
      <w:r w:rsidR="005767C4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zařízeních</w:t>
      </w:r>
      <w:r w:rsidR="005767C4" w:rsidRPr="00CB1C4E">
        <w:rPr>
          <w:rFonts w:ascii="Cambria" w:hAnsi="Cambria"/>
          <w:szCs w:val="24"/>
        </w:rPr>
        <w:t>,</w:t>
      </w:r>
      <w:r w:rsidRPr="00CB1C4E">
        <w:rPr>
          <w:rFonts w:ascii="Cambria" w:hAnsi="Cambria"/>
          <w:szCs w:val="24"/>
        </w:rPr>
        <w:t xml:space="preserve"> jejichž provoz byl zahájen od 1.</w:t>
      </w:r>
      <w:r w:rsidR="005767C4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1.</w:t>
      </w:r>
      <w:r w:rsidR="005767C4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2021</w:t>
      </w:r>
      <w:r w:rsidR="005767C4" w:rsidRPr="00CB1C4E">
        <w:rPr>
          <w:rFonts w:ascii="Cambria" w:hAnsi="Cambria"/>
          <w:szCs w:val="24"/>
        </w:rPr>
        <w:t>,</w:t>
      </w:r>
      <w:r w:rsidRPr="00CB1C4E">
        <w:rPr>
          <w:rFonts w:ascii="Cambria" w:hAnsi="Cambria"/>
          <w:szCs w:val="24"/>
        </w:rPr>
        <w:t xml:space="preserve"> alespoň 70 % v případě zahájení provozu </w:t>
      </w:r>
      <w:r w:rsidRPr="00F84143">
        <w:rPr>
          <w:rFonts w:ascii="Cambria" w:hAnsi="Cambria"/>
          <w:szCs w:val="24"/>
        </w:rPr>
        <w:t>od 1.</w:t>
      </w:r>
      <w:r w:rsidR="005767C4" w:rsidRPr="00F84143">
        <w:rPr>
          <w:rFonts w:ascii="Cambria" w:hAnsi="Cambria"/>
          <w:szCs w:val="24"/>
        </w:rPr>
        <w:t> </w:t>
      </w:r>
      <w:r w:rsidRPr="00F84143">
        <w:rPr>
          <w:rFonts w:ascii="Cambria" w:hAnsi="Cambria"/>
          <w:szCs w:val="24"/>
        </w:rPr>
        <w:t>1.</w:t>
      </w:r>
      <w:r w:rsidR="005767C4" w:rsidRPr="00F84143">
        <w:rPr>
          <w:rFonts w:ascii="Cambria" w:hAnsi="Cambria"/>
          <w:szCs w:val="24"/>
        </w:rPr>
        <w:t> </w:t>
      </w:r>
      <w:r w:rsidRPr="00F84143">
        <w:rPr>
          <w:rFonts w:ascii="Cambria" w:hAnsi="Cambria"/>
          <w:szCs w:val="24"/>
        </w:rPr>
        <w:t>2021 do</w:t>
      </w:r>
      <w:r w:rsidRPr="00CB1C4E">
        <w:rPr>
          <w:rFonts w:ascii="Cambria" w:hAnsi="Cambria"/>
          <w:szCs w:val="24"/>
        </w:rPr>
        <w:t xml:space="preserve"> 31.</w:t>
      </w:r>
      <w:r w:rsidR="005767C4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12.</w:t>
      </w:r>
      <w:r w:rsidR="005767C4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2025 a 80 % u zařízení, jejichž provoz byl zahájen od 1.</w:t>
      </w:r>
      <w:r w:rsidR="005767C4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>1.</w:t>
      </w:r>
      <w:r w:rsidR="005767C4" w:rsidRPr="00CB1C4E">
        <w:rPr>
          <w:rFonts w:ascii="Cambria" w:hAnsi="Cambria"/>
          <w:szCs w:val="24"/>
        </w:rPr>
        <w:t> </w:t>
      </w:r>
      <w:r w:rsidRPr="00CB1C4E">
        <w:rPr>
          <w:rFonts w:ascii="Cambria" w:hAnsi="Cambria"/>
          <w:szCs w:val="24"/>
        </w:rPr>
        <w:t xml:space="preserve">2026. </w:t>
      </w:r>
    </w:p>
    <w:p w:rsidR="00CA788D" w:rsidRPr="005767C4" w:rsidRDefault="00CA788D" w:rsidP="00627596">
      <w:pPr>
        <w:pStyle w:val="Nadpis3"/>
        <w:ind w:left="624" w:hanging="624"/>
      </w:pPr>
      <w:r w:rsidRPr="00787EB4">
        <w:rPr>
          <w:szCs w:val="28"/>
        </w:rPr>
        <w:t xml:space="preserve"> </w:t>
      </w:r>
      <w:bookmarkStart w:id="11" w:name="_Toc5881010"/>
      <w:bookmarkStart w:id="12" w:name="_Toc5959529"/>
      <w:r w:rsidRPr="005767C4">
        <w:t>Cíle a obsah návrhu vnitrostátního plánu ČR v oblasti energetiky a klimatu</w:t>
      </w:r>
      <w:bookmarkEnd w:id="11"/>
      <w:bookmarkEnd w:id="12"/>
      <w:r w:rsidRPr="005767C4">
        <w:t xml:space="preserve"> </w:t>
      </w:r>
    </w:p>
    <w:p w:rsidR="00CA788D" w:rsidRPr="005767C4" w:rsidRDefault="00CA788D" w:rsidP="005767C4">
      <w:pPr>
        <w:spacing w:after="60"/>
        <w:rPr>
          <w:rFonts w:ascii="Cambria" w:hAnsi="Cambria"/>
          <w:szCs w:val="24"/>
        </w:rPr>
      </w:pPr>
      <w:r w:rsidRPr="005767C4">
        <w:rPr>
          <w:rFonts w:ascii="Cambria" w:hAnsi="Cambria"/>
          <w:szCs w:val="24"/>
        </w:rPr>
        <w:t xml:space="preserve">Návrh vnitrostátního plánu ČR v oblasti energetiky a klimatu byl zpracován na základě požadavku </w:t>
      </w:r>
      <w:r w:rsidR="00E5706B">
        <w:rPr>
          <w:rFonts w:ascii="Cambria" w:hAnsi="Cambria"/>
          <w:szCs w:val="24"/>
        </w:rPr>
        <w:t>n</w:t>
      </w:r>
      <w:r w:rsidRPr="005767C4">
        <w:rPr>
          <w:rFonts w:ascii="Cambria" w:hAnsi="Cambria"/>
          <w:szCs w:val="24"/>
        </w:rPr>
        <w:t xml:space="preserve">ařízení </w:t>
      </w:r>
      <w:r w:rsidR="00E5706B">
        <w:rPr>
          <w:rFonts w:ascii="Cambria" w:hAnsi="Cambria"/>
          <w:szCs w:val="24"/>
        </w:rPr>
        <w:t>E</w:t>
      </w:r>
      <w:r w:rsidRPr="005767C4">
        <w:rPr>
          <w:rFonts w:ascii="Cambria" w:hAnsi="Cambria"/>
          <w:szCs w:val="24"/>
        </w:rPr>
        <w:t xml:space="preserve">vropského parlamentu a </w:t>
      </w:r>
      <w:r w:rsidR="00E5706B">
        <w:rPr>
          <w:rFonts w:ascii="Cambria" w:hAnsi="Cambria"/>
          <w:szCs w:val="24"/>
        </w:rPr>
        <w:t>R</w:t>
      </w:r>
      <w:r w:rsidRPr="005767C4">
        <w:rPr>
          <w:rFonts w:ascii="Cambria" w:hAnsi="Cambria"/>
          <w:szCs w:val="24"/>
        </w:rPr>
        <w:t>ady o správě energetické unie, jehož návrh byl představen v rámci legislativního balíčku s názvem „Čistá energie pro všechny Evropany“ (30.</w:t>
      </w:r>
      <w:r w:rsidR="00E5706B">
        <w:rPr>
          <w:rFonts w:ascii="Cambria" w:hAnsi="Cambria"/>
          <w:szCs w:val="24"/>
        </w:rPr>
        <w:t> </w:t>
      </w:r>
      <w:r w:rsidRPr="005767C4">
        <w:rPr>
          <w:rFonts w:ascii="Cambria" w:hAnsi="Cambria"/>
          <w:szCs w:val="24"/>
        </w:rPr>
        <w:t>11.</w:t>
      </w:r>
      <w:r w:rsidR="00E5706B">
        <w:rPr>
          <w:rFonts w:ascii="Cambria" w:hAnsi="Cambria"/>
          <w:szCs w:val="24"/>
        </w:rPr>
        <w:t> </w:t>
      </w:r>
      <w:r w:rsidRPr="005767C4">
        <w:rPr>
          <w:rFonts w:ascii="Cambria" w:hAnsi="Cambria"/>
          <w:szCs w:val="24"/>
        </w:rPr>
        <w:t>2016)</w:t>
      </w:r>
      <w:r w:rsidR="00E5706B">
        <w:rPr>
          <w:rFonts w:ascii="Cambria" w:hAnsi="Cambria"/>
          <w:szCs w:val="24"/>
        </w:rPr>
        <w:t>.</w:t>
      </w:r>
    </w:p>
    <w:p w:rsidR="00CA788D" w:rsidRPr="005767C4" w:rsidRDefault="00CA788D" w:rsidP="005767C4">
      <w:pPr>
        <w:spacing w:after="60"/>
        <w:rPr>
          <w:rFonts w:ascii="Cambria" w:hAnsi="Cambria"/>
          <w:szCs w:val="24"/>
        </w:rPr>
      </w:pPr>
      <w:r w:rsidRPr="005767C4">
        <w:rPr>
          <w:rFonts w:ascii="Cambria" w:hAnsi="Cambria"/>
          <w:szCs w:val="24"/>
        </w:rPr>
        <w:t xml:space="preserve">V prosinci 2018 MPO předložilo tento plán k diskuzi. Plán má tyto hlavní části: Vnitrostátní cíle, Politiky a opatření, Současný stav a odhady vycházející ze stávajících politik a opatření, Posouzení dopadu a plánovaných politik a opatření. </w:t>
      </w:r>
    </w:p>
    <w:p w:rsidR="00CA788D" w:rsidRPr="005767C4" w:rsidRDefault="00CA788D" w:rsidP="005767C4">
      <w:pPr>
        <w:spacing w:after="60"/>
        <w:rPr>
          <w:rFonts w:ascii="Cambria" w:hAnsi="Cambria"/>
          <w:szCs w:val="24"/>
        </w:rPr>
      </w:pPr>
      <w:r w:rsidRPr="005767C4">
        <w:rPr>
          <w:rFonts w:ascii="Cambria" w:hAnsi="Cambria"/>
          <w:szCs w:val="24"/>
        </w:rPr>
        <w:t>V části Vnitrostátní cíle</w:t>
      </w:r>
      <w:r w:rsidR="00E5706B">
        <w:rPr>
          <w:rFonts w:ascii="Cambria" w:hAnsi="Cambria"/>
          <w:szCs w:val="24"/>
        </w:rPr>
        <w:t xml:space="preserve"> </w:t>
      </w:r>
      <w:r w:rsidRPr="005767C4">
        <w:rPr>
          <w:rFonts w:ascii="Cambria" w:hAnsi="Cambria"/>
          <w:szCs w:val="24"/>
        </w:rPr>
        <w:t xml:space="preserve">řeší </w:t>
      </w:r>
      <w:r w:rsidRPr="006E120F">
        <w:rPr>
          <w:rFonts w:ascii="Cambria" w:hAnsi="Cambria"/>
          <w:szCs w:val="24"/>
        </w:rPr>
        <w:t>tyto dimenze:</w:t>
      </w:r>
      <w:r w:rsidRPr="005767C4">
        <w:rPr>
          <w:rFonts w:ascii="Cambria" w:hAnsi="Cambria"/>
          <w:szCs w:val="24"/>
        </w:rPr>
        <w:t xml:space="preserve"> Dekarbonizace</w:t>
      </w:r>
      <w:r w:rsidR="00472984">
        <w:rPr>
          <w:rFonts w:ascii="Cambria" w:hAnsi="Cambria"/>
          <w:szCs w:val="24"/>
        </w:rPr>
        <w:t>,</w:t>
      </w:r>
      <w:r w:rsidRPr="005767C4">
        <w:rPr>
          <w:rFonts w:ascii="Cambria" w:hAnsi="Cambria"/>
          <w:szCs w:val="24"/>
        </w:rPr>
        <w:t xml:space="preserve"> Energetická účinnost</w:t>
      </w:r>
      <w:r w:rsidR="00472984">
        <w:rPr>
          <w:rFonts w:ascii="Cambria" w:hAnsi="Cambria"/>
          <w:szCs w:val="24"/>
        </w:rPr>
        <w:t xml:space="preserve">, </w:t>
      </w:r>
      <w:r w:rsidRPr="005767C4">
        <w:rPr>
          <w:rFonts w:ascii="Cambria" w:hAnsi="Cambria"/>
          <w:szCs w:val="24"/>
        </w:rPr>
        <w:t>Energetická bezpečnost</w:t>
      </w:r>
      <w:r w:rsidR="00472984">
        <w:rPr>
          <w:rFonts w:ascii="Cambria" w:hAnsi="Cambria"/>
          <w:szCs w:val="24"/>
        </w:rPr>
        <w:t>,</w:t>
      </w:r>
      <w:r w:rsidRPr="005767C4">
        <w:rPr>
          <w:rFonts w:ascii="Cambria" w:hAnsi="Cambria"/>
          <w:szCs w:val="24"/>
        </w:rPr>
        <w:t xml:space="preserve"> Vnitřní trh s</w:t>
      </w:r>
      <w:r w:rsidR="00472984">
        <w:rPr>
          <w:rFonts w:ascii="Cambria" w:hAnsi="Cambria"/>
          <w:szCs w:val="24"/>
        </w:rPr>
        <w:t> </w:t>
      </w:r>
      <w:r w:rsidRPr="005767C4">
        <w:rPr>
          <w:rFonts w:ascii="Cambria" w:hAnsi="Cambria"/>
          <w:szCs w:val="24"/>
        </w:rPr>
        <w:t>energií</w:t>
      </w:r>
      <w:r w:rsidR="00472984">
        <w:rPr>
          <w:rFonts w:ascii="Cambria" w:hAnsi="Cambria"/>
          <w:szCs w:val="24"/>
        </w:rPr>
        <w:t xml:space="preserve">, </w:t>
      </w:r>
      <w:r w:rsidRPr="005767C4">
        <w:rPr>
          <w:rFonts w:ascii="Cambria" w:hAnsi="Cambria"/>
          <w:szCs w:val="24"/>
        </w:rPr>
        <w:t>Výzkum, inovace a konkurenceschopnost.</w:t>
      </w:r>
    </w:p>
    <w:p w:rsidR="00CA788D" w:rsidRPr="005767C4" w:rsidRDefault="00CA788D" w:rsidP="005767C4">
      <w:pPr>
        <w:spacing w:after="60"/>
        <w:rPr>
          <w:rFonts w:ascii="Cambria" w:hAnsi="Cambria"/>
          <w:szCs w:val="24"/>
        </w:rPr>
      </w:pPr>
      <w:r w:rsidRPr="005767C4">
        <w:rPr>
          <w:rFonts w:ascii="Cambria" w:hAnsi="Cambria"/>
          <w:szCs w:val="24"/>
        </w:rPr>
        <w:t>V části Politiky a opatření řeší v tyto dimenze:</w:t>
      </w:r>
      <w:r w:rsidR="00472984">
        <w:rPr>
          <w:rFonts w:ascii="Cambria" w:hAnsi="Cambria"/>
          <w:szCs w:val="24"/>
        </w:rPr>
        <w:t xml:space="preserve"> </w:t>
      </w:r>
      <w:r w:rsidRPr="005767C4">
        <w:rPr>
          <w:rFonts w:ascii="Cambria" w:hAnsi="Cambria"/>
          <w:szCs w:val="24"/>
        </w:rPr>
        <w:t>Snižování emisí uhlíku</w:t>
      </w:r>
      <w:r w:rsidR="00472984">
        <w:rPr>
          <w:rFonts w:ascii="Cambria" w:hAnsi="Cambria"/>
          <w:szCs w:val="24"/>
        </w:rPr>
        <w:t>,</w:t>
      </w:r>
      <w:r w:rsidRPr="005767C4">
        <w:rPr>
          <w:rFonts w:ascii="Cambria" w:hAnsi="Cambria"/>
          <w:szCs w:val="24"/>
        </w:rPr>
        <w:t xml:space="preserve"> Emise skleníkových plynů a jejich pohlcování</w:t>
      </w:r>
      <w:r w:rsidR="00472984">
        <w:rPr>
          <w:rFonts w:ascii="Cambria" w:hAnsi="Cambria"/>
          <w:szCs w:val="24"/>
        </w:rPr>
        <w:t>,</w:t>
      </w:r>
      <w:r w:rsidRPr="005767C4">
        <w:rPr>
          <w:rFonts w:ascii="Cambria" w:hAnsi="Cambria"/>
          <w:szCs w:val="24"/>
        </w:rPr>
        <w:t xml:space="preserve"> Energie z OZE a další prvky.</w:t>
      </w:r>
    </w:p>
    <w:p w:rsidR="00CA788D" w:rsidRPr="005767C4" w:rsidRDefault="00CA788D" w:rsidP="008C4B72">
      <w:pPr>
        <w:widowControl/>
        <w:spacing w:after="60"/>
        <w:rPr>
          <w:rFonts w:ascii="Cambria" w:hAnsi="Cambria"/>
          <w:szCs w:val="24"/>
        </w:rPr>
      </w:pPr>
      <w:r w:rsidRPr="005767C4">
        <w:rPr>
          <w:rFonts w:ascii="Cambria" w:hAnsi="Cambria"/>
          <w:szCs w:val="24"/>
        </w:rPr>
        <w:lastRenderedPageBreak/>
        <w:t>V dimenzi Vnitřní trh s energií řeší: Elektrizační infrastrukturu</w:t>
      </w:r>
      <w:r w:rsidR="00BC37C5">
        <w:rPr>
          <w:rFonts w:ascii="Cambria" w:hAnsi="Cambria"/>
          <w:szCs w:val="24"/>
        </w:rPr>
        <w:t>,</w:t>
      </w:r>
      <w:r w:rsidRPr="005767C4">
        <w:rPr>
          <w:rFonts w:ascii="Cambria" w:hAnsi="Cambria"/>
          <w:szCs w:val="24"/>
        </w:rPr>
        <w:t xml:space="preserve"> Infrastrukturu pro přepravu plynu</w:t>
      </w:r>
      <w:r w:rsidR="00BC37C5">
        <w:rPr>
          <w:rFonts w:ascii="Cambria" w:hAnsi="Cambria"/>
          <w:szCs w:val="24"/>
        </w:rPr>
        <w:t>,</w:t>
      </w:r>
      <w:r w:rsidRPr="005767C4">
        <w:rPr>
          <w:rFonts w:ascii="Cambria" w:hAnsi="Cambria"/>
          <w:szCs w:val="24"/>
        </w:rPr>
        <w:t xml:space="preserve"> Integrac</w:t>
      </w:r>
      <w:r w:rsidR="00BC37C5">
        <w:rPr>
          <w:rFonts w:ascii="Cambria" w:hAnsi="Cambria"/>
          <w:szCs w:val="24"/>
        </w:rPr>
        <w:t>i</w:t>
      </w:r>
      <w:r w:rsidRPr="005767C4">
        <w:rPr>
          <w:rFonts w:ascii="Cambria" w:hAnsi="Cambria"/>
          <w:szCs w:val="24"/>
        </w:rPr>
        <w:t xml:space="preserve"> trhu a energetick</w:t>
      </w:r>
      <w:r w:rsidR="00BC37C5">
        <w:rPr>
          <w:rFonts w:ascii="Cambria" w:hAnsi="Cambria"/>
          <w:szCs w:val="24"/>
        </w:rPr>
        <w:t>ou</w:t>
      </w:r>
      <w:r w:rsidRPr="005767C4">
        <w:rPr>
          <w:rFonts w:ascii="Cambria" w:hAnsi="Cambria"/>
          <w:szCs w:val="24"/>
        </w:rPr>
        <w:t xml:space="preserve"> chudob</w:t>
      </w:r>
      <w:r w:rsidR="00BC37C5">
        <w:rPr>
          <w:rFonts w:ascii="Cambria" w:hAnsi="Cambria"/>
          <w:szCs w:val="24"/>
        </w:rPr>
        <w:t>u</w:t>
      </w:r>
      <w:r w:rsidRPr="005767C4">
        <w:rPr>
          <w:rFonts w:ascii="Cambria" w:hAnsi="Cambria"/>
          <w:szCs w:val="24"/>
        </w:rPr>
        <w:t xml:space="preserve">. </w:t>
      </w:r>
    </w:p>
    <w:p w:rsidR="00CA788D" w:rsidRPr="005767C4" w:rsidRDefault="00CA788D" w:rsidP="005767C4">
      <w:pPr>
        <w:spacing w:after="60"/>
        <w:rPr>
          <w:rFonts w:ascii="Cambria" w:hAnsi="Cambria"/>
          <w:szCs w:val="24"/>
        </w:rPr>
      </w:pPr>
      <w:r w:rsidRPr="005767C4">
        <w:rPr>
          <w:rFonts w:ascii="Cambria" w:hAnsi="Cambria"/>
          <w:szCs w:val="24"/>
        </w:rPr>
        <w:t>Deklarovaným účelem plánu je příprava a implementace politiky a opatření pro splnění cílů EU a dlouhodobých závazků spojených se snižováním emisí do roku 2030</w:t>
      </w:r>
      <w:r w:rsidR="00E46369">
        <w:rPr>
          <w:rFonts w:ascii="Cambria" w:hAnsi="Cambria"/>
          <w:szCs w:val="24"/>
        </w:rPr>
        <w:t>,</w:t>
      </w:r>
      <w:r w:rsidRPr="005767C4">
        <w:rPr>
          <w:rFonts w:ascii="Cambria" w:hAnsi="Cambria"/>
          <w:szCs w:val="24"/>
        </w:rPr>
        <w:t xml:space="preserve"> stimulace spolupráce mezi členskými státy</w:t>
      </w:r>
      <w:r w:rsidR="00E46369">
        <w:rPr>
          <w:rFonts w:ascii="Cambria" w:hAnsi="Cambria"/>
          <w:szCs w:val="24"/>
        </w:rPr>
        <w:t>,</w:t>
      </w:r>
      <w:r w:rsidRPr="005767C4">
        <w:rPr>
          <w:rFonts w:ascii="Cambria" w:hAnsi="Cambria"/>
          <w:szCs w:val="24"/>
        </w:rPr>
        <w:t xml:space="preserve"> vyšší regulační a investiční jistota vyplývající z pokrytí všech pěti základních dimenzí</w:t>
      </w:r>
      <w:r w:rsidR="00E46369">
        <w:rPr>
          <w:rFonts w:ascii="Cambria" w:hAnsi="Cambria"/>
          <w:szCs w:val="24"/>
        </w:rPr>
        <w:t>,</w:t>
      </w:r>
      <w:r w:rsidRPr="005767C4">
        <w:rPr>
          <w:rFonts w:ascii="Cambria" w:hAnsi="Cambria"/>
          <w:szCs w:val="24"/>
        </w:rPr>
        <w:t xml:space="preserve"> efektivní příležitostí pro účast veřejnosti</w:t>
      </w:r>
      <w:r w:rsidR="00E46369">
        <w:rPr>
          <w:rFonts w:ascii="Cambria" w:hAnsi="Cambria"/>
          <w:szCs w:val="24"/>
        </w:rPr>
        <w:t>,</w:t>
      </w:r>
      <w:r w:rsidRPr="005767C4">
        <w:rPr>
          <w:rFonts w:ascii="Cambria" w:hAnsi="Cambria"/>
          <w:szCs w:val="24"/>
        </w:rPr>
        <w:t xml:space="preserve"> strukturovaný a</w:t>
      </w:r>
      <w:r w:rsidR="00536FFE">
        <w:rPr>
          <w:rFonts w:ascii="Cambria" w:hAnsi="Cambria"/>
          <w:szCs w:val="24"/>
        </w:rPr>
        <w:t> </w:t>
      </w:r>
      <w:r w:rsidRPr="005767C4">
        <w:rPr>
          <w:rFonts w:ascii="Cambria" w:hAnsi="Cambria"/>
          <w:szCs w:val="24"/>
        </w:rPr>
        <w:t xml:space="preserve">transparentní proces mezi Komisí a členskými státy. </w:t>
      </w:r>
    </w:p>
    <w:p w:rsidR="00A94144" w:rsidRPr="00A94144" w:rsidRDefault="00CA788D" w:rsidP="00A94144">
      <w:pPr>
        <w:spacing w:after="40"/>
        <w:rPr>
          <w:rFonts w:ascii="Cambria" w:hAnsi="Cambria"/>
          <w:szCs w:val="24"/>
        </w:rPr>
      </w:pPr>
      <w:r w:rsidRPr="00A94144">
        <w:rPr>
          <w:rFonts w:ascii="Cambria" w:hAnsi="Cambria"/>
          <w:szCs w:val="24"/>
        </w:rPr>
        <w:t>V sektoru ropy a ropných produktů jsou definovány tyto cíle:</w:t>
      </w:r>
    </w:p>
    <w:p w:rsidR="00A94144" w:rsidRPr="00A94144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 w:rsidRPr="00A94144">
        <w:rPr>
          <w:rFonts w:ascii="Cambria" w:hAnsi="Cambria"/>
          <w:sz w:val="26"/>
          <w:szCs w:val="26"/>
        </w:rPr>
        <w:t>udržet</w:t>
      </w:r>
      <w:r w:rsidRPr="00A94144">
        <w:rPr>
          <w:rFonts w:ascii="Cambria" w:hAnsi="Cambria"/>
          <w:szCs w:val="24"/>
        </w:rPr>
        <w:t xml:space="preserve"> alespoň stávající diverzifikaci dodávek ropy podle zemí původu</w:t>
      </w:r>
    </w:p>
    <w:p w:rsidR="00A94144" w:rsidRPr="00A94144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 w:val="26"/>
          <w:szCs w:val="26"/>
        </w:rPr>
      </w:pPr>
      <w:r w:rsidRPr="00A94144">
        <w:rPr>
          <w:rFonts w:ascii="Cambria" w:hAnsi="Cambria"/>
          <w:sz w:val="26"/>
          <w:szCs w:val="26"/>
        </w:rPr>
        <w:t>udržet minimálně systém přepravy dvěma trasami ropovodů</w:t>
      </w:r>
    </w:p>
    <w:p w:rsidR="00A94144" w:rsidRPr="00A94144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 w:val="26"/>
          <w:szCs w:val="26"/>
        </w:rPr>
      </w:pPr>
      <w:r w:rsidRPr="00A94144">
        <w:rPr>
          <w:rFonts w:ascii="Cambria" w:hAnsi="Cambria"/>
          <w:sz w:val="26"/>
          <w:szCs w:val="26"/>
        </w:rPr>
        <w:t>udržet minimálně 50 % stávající zpracovatelské kapacity ropy na území ČR</w:t>
      </w:r>
    </w:p>
    <w:p w:rsidR="00CA788D" w:rsidRPr="00A94144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spacing w:after="120"/>
        <w:ind w:left="284" w:hanging="284"/>
        <w:contextualSpacing w:val="0"/>
        <w:rPr>
          <w:rFonts w:ascii="Cambria" w:hAnsi="Cambria"/>
          <w:szCs w:val="24"/>
        </w:rPr>
      </w:pPr>
      <w:r w:rsidRPr="00A94144">
        <w:rPr>
          <w:rFonts w:ascii="Cambria" w:hAnsi="Cambria"/>
          <w:sz w:val="26"/>
          <w:szCs w:val="26"/>
        </w:rPr>
        <w:t>udržovat</w:t>
      </w:r>
      <w:r w:rsidRPr="00A94144">
        <w:rPr>
          <w:rFonts w:ascii="Cambria" w:hAnsi="Cambria"/>
          <w:szCs w:val="24"/>
        </w:rPr>
        <w:t xml:space="preserve"> minimálně 90denní průměrné zásoby ropy a ropných produktů.</w:t>
      </w:r>
    </w:p>
    <w:p w:rsidR="00CA788D" w:rsidRPr="00A94144" w:rsidRDefault="00CA788D" w:rsidP="00627596">
      <w:pPr>
        <w:pStyle w:val="Nadpis3"/>
        <w:ind w:left="624" w:hanging="624"/>
      </w:pPr>
      <w:bookmarkStart w:id="13" w:name="_Toc5881011"/>
      <w:bookmarkStart w:id="14" w:name="_Toc5959530"/>
      <w:r w:rsidRPr="00A94144">
        <w:t>Zákon o ochraně ovzduší a novela zákon o podpoře obnovitelných zdrojů</w:t>
      </w:r>
      <w:bookmarkEnd w:id="13"/>
      <w:bookmarkEnd w:id="14"/>
    </w:p>
    <w:p w:rsidR="00CA788D" w:rsidRPr="00787EB4" w:rsidRDefault="00CA788D" w:rsidP="00B45E81">
      <w:pPr>
        <w:pStyle w:val="Nadpis4"/>
        <w:ind w:hanging="720"/>
      </w:pPr>
      <w:bookmarkStart w:id="15" w:name="_Toc5881012"/>
      <w:bookmarkStart w:id="16" w:name="_Toc5959531"/>
      <w:r w:rsidRPr="00786017">
        <w:t>Zákon</w:t>
      </w:r>
      <w:r w:rsidRPr="00787EB4">
        <w:t xml:space="preserve"> </w:t>
      </w:r>
      <w:r w:rsidR="00786017">
        <w:t xml:space="preserve">o </w:t>
      </w:r>
      <w:r w:rsidRPr="00786017">
        <w:t>ochraně</w:t>
      </w:r>
      <w:r w:rsidRPr="00787EB4">
        <w:t xml:space="preserve"> ovzduší</w:t>
      </w:r>
      <w:bookmarkEnd w:id="15"/>
      <w:bookmarkEnd w:id="16"/>
      <w:r w:rsidRPr="00787EB4">
        <w:t xml:space="preserve"> </w:t>
      </w:r>
    </w:p>
    <w:p w:rsidR="00CA788D" w:rsidRPr="00787EB4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Novelizovaný zákon ochraně ovzduší č. 172/2018</w:t>
      </w:r>
      <w:r w:rsidR="0036785D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Sb. je transpozičním zákonem ke </w:t>
      </w:r>
      <w:r w:rsidR="00FA0D6C">
        <w:rPr>
          <w:rFonts w:ascii="Cambria" w:hAnsi="Cambria"/>
          <w:szCs w:val="24"/>
        </w:rPr>
        <w:t>s</w:t>
      </w:r>
      <w:r w:rsidRPr="00787EB4">
        <w:rPr>
          <w:rFonts w:ascii="Cambria" w:hAnsi="Cambria"/>
          <w:szCs w:val="24"/>
        </w:rPr>
        <w:t>měrnici Rady (EU) 2015/652 ze dne 20.</w:t>
      </w:r>
      <w:r w:rsidR="00FA0D6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4.</w:t>
      </w:r>
      <w:r w:rsidR="00FA0D6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2015, kterou se stanoví metody výpočtu a</w:t>
      </w:r>
      <w:r w:rsidR="00FA0D6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požadavky na podávání zpráv podle </w:t>
      </w:r>
      <w:r w:rsidR="00FA0D6C">
        <w:rPr>
          <w:rFonts w:ascii="Cambria" w:hAnsi="Cambria"/>
          <w:szCs w:val="24"/>
        </w:rPr>
        <w:t>s</w:t>
      </w:r>
      <w:r w:rsidRPr="00787EB4">
        <w:rPr>
          <w:rFonts w:ascii="Cambria" w:hAnsi="Cambria"/>
          <w:szCs w:val="24"/>
        </w:rPr>
        <w:t>měrnice Evropského parlamentu a Rady 98/70/ES o jakosti benzinu a motorové nafty, směrnice Evropského parlamentu a Rady (EU) 2015/1513 ze dne 9.</w:t>
      </w:r>
      <w:r w:rsidR="00FA0D6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9.</w:t>
      </w:r>
      <w:r w:rsidR="00FA0D6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2015, kterou se mění směrnice 98/70/ES o jakosti benzinu a </w:t>
      </w:r>
      <w:r w:rsidRPr="006E120F">
        <w:rPr>
          <w:rFonts w:ascii="Cambria" w:hAnsi="Cambria"/>
          <w:szCs w:val="24"/>
        </w:rPr>
        <w:t>motorové nafty</w:t>
      </w:r>
      <w:r w:rsidR="006E120F" w:rsidRPr="006E120F">
        <w:rPr>
          <w:rFonts w:ascii="Cambria" w:hAnsi="Cambria"/>
          <w:szCs w:val="24"/>
        </w:rPr>
        <w:t>,</w:t>
      </w:r>
      <w:r w:rsidRPr="006E120F">
        <w:rPr>
          <w:rFonts w:ascii="Cambria" w:hAnsi="Cambria"/>
          <w:szCs w:val="24"/>
        </w:rPr>
        <w:t xml:space="preserve"> směrnice 2009</w:t>
      </w:r>
      <w:r w:rsidRPr="00787EB4">
        <w:rPr>
          <w:rFonts w:ascii="Cambria" w:hAnsi="Cambria"/>
          <w:szCs w:val="24"/>
        </w:rPr>
        <w:t>/28/ES podpoře využívání energie z obnovitelných zdrojů a směrnice Evropského parlamentu a Rady</w:t>
      </w:r>
      <w:r w:rsidR="00FA0D6C">
        <w:rPr>
          <w:rFonts w:ascii="Cambria" w:hAnsi="Cambria"/>
          <w:szCs w:val="24"/>
        </w:rPr>
        <w:t xml:space="preserve"> </w:t>
      </w:r>
      <w:r w:rsidRPr="00787EB4">
        <w:rPr>
          <w:rFonts w:ascii="Cambria" w:hAnsi="Cambria"/>
          <w:szCs w:val="24"/>
        </w:rPr>
        <w:t>(EU) ze dne 14.</w:t>
      </w:r>
      <w:r w:rsidR="00FA0D6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12.</w:t>
      </w:r>
      <w:r w:rsidR="00FA0D6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2016 o snížení národních emisí některých látek znečišťujících ovzduší, o změně směrnice 2003/35/ES a</w:t>
      </w:r>
      <w:r w:rsidR="00FA0D6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zrušení směrnice 2001/81/ES. </w:t>
      </w:r>
    </w:p>
    <w:p w:rsidR="00CA788D" w:rsidRPr="00787EB4" w:rsidRDefault="00CA788D" w:rsidP="00B221CA">
      <w:pPr>
        <w:pStyle w:val="Odstavecseseznamem"/>
        <w:widowControl/>
        <w:tabs>
          <w:tab w:val="left" w:pos="284"/>
        </w:tabs>
        <w:spacing w:after="4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Ve srovnání se zněním zákona o ovzduší č. 201/2012</w:t>
      </w:r>
      <w:r w:rsidR="00FA0D6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Sb. novelizovaný zákon přinesl v oblasti dopravy </w:t>
      </w:r>
      <w:r w:rsidR="00FA0D6C">
        <w:rPr>
          <w:rFonts w:ascii="Cambria" w:hAnsi="Cambria"/>
          <w:szCs w:val="24"/>
        </w:rPr>
        <w:t>následující</w:t>
      </w:r>
      <w:r w:rsidRPr="00787EB4">
        <w:rPr>
          <w:rFonts w:ascii="Cambria" w:hAnsi="Cambria"/>
          <w:szCs w:val="24"/>
        </w:rPr>
        <w:t xml:space="preserve"> změny:</w:t>
      </w:r>
    </w:p>
    <w:p w:rsidR="00CA788D" w:rsidRPr="00787EB4" w:rsidRDefault="00B221CA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 w:val="26"/>
          <w:szCs w:val="26"/>
        </w:rPr>
        <w:t>n</w:t>
      </w:r>
      <w:r w:rsidR="00CA788D" w:rsidRPr="00B221CA">
        <w:rPr>
          <w:rFonts w:ascii="Cambria" w:hAnsi="Cambria"/>
          <w:sz w:val="26"/>
          <w:szCs w:val="26"/>
        </w:rPr>
        <w:t>ové</w:t>
      </w:r>
      <w:r w:rsidR="00CA788D" w:rsidRPr="00787EB4">
        <w:rPr>
          <w:rFonts w:ascii="Cambria" w:hAnsi="Cambria"/>
          <w:szCs w:val="24"/>
        </w:rPr>
        <w:t xml:space="preserve"> definice pohonných hmot, elektřiny pro dopravní účely, emise vyprodukovaných skleníkových plynů na jednotku energie celkového množství emisí skleníkových plynů vyjádřené v ekvivalentu CO2 vyprodukovaných v úplném životním cyklu PHM pro dopravní účely nebo elektřiny pro dopravní účely, dělené celkovým energetickým obsahem PHM, který je vyjádřen hodnotou výhřevnosti nebo energií ve formě elektřiny a emisemi z těžby ropy</w:t>
      </w:r>
    </w:p>
    <w:p w:rsidR="00CA788D" w:rsidRPr="00787EB4" w:rsidRDefault="002E3595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</w:t>
      </w:r>
      <w:r w:rsidR="00CA788D" w:rsidRPr="00787EB4">
        <w:rPr>
          <w:rFonts w:ascii="Cambria" w:hAnsi="Cambria"/>
          <w:szCs w:val="24"/>
        </w:rPr>
        <w:t xml:space="preserve">ově je definována povinná osoba, kterou je „dodavatel motorového benzinu nebo motorové nafty“ </w:t>
      </w:r>
    </w:p>
    <w:p w:rsidR="00CA788D" w:rsidRPr="00787EB4" w:rsidRDefault="002E3595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</w:t>
      </w:r>
      <w:r w:rsidR="00CA788D" w:rsidRPr="00787EB4">
        <w:rPr>
          <w:rFonts w:ascii="Cambria" w:hAnsi="Cambria"/>
          <w:szCs w:val="24"/>
        </w:rPr>
        <w:t>ově je pro účely splnění povinností možné použít dodaného biopaliva vyrobeného z UCO nebo z odpadních živočišných produktů. V tomto případě je možné množství dodaného biopaliva započítat dvakrát.</w:t>
      </w:r>
    </w:p>
    <w:p w:rsidR="00CA788D" w:rsidRPr="00787EB4" w:rsidRDefault="00495E98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</w:t>
      </w:r>
      <w:r w:rsidR="00CA788D" w:rsidRPr="00787EB4">
        <w:rPr>
          <w:rFonts w:ascii="Cambria" w:hAnsi="Cambria"/>
          <w:szCs w:val="24"/>
        </w:rPr>
        <w:t>ově je upravena povinnost snižovat emise skleníkových plynů</w:t>
      </w:r>
      <w:r>
        <w:rPr>
          <w:rFonts w:ascii="Cambria" w:hAnsi="Cambria"/>
          <w:szCs w:val="24"/>
        </w:rPr>
        <w:t xml:space="preserve">, a to </w:t>
      </w:r>
      <w:r w:rsidR="00CA788D" w:rsidRPr="00787EB4">
        <w:rPr>
          <w:rFonts w:ascii="Cambria" w:hAnsi="Cambria"/>
          <w:szCs w:val="24"/>
        </w:rPr>
        <w:t>v roce 2017 a</w:t>
      </w:r>
      <w:r>
        <w:rPr>
          <w:rFonts w:ascii="Cambria" w:hAnsi="Cambria"/>
          <w:szCs w:val="24"/>
        </w:rPr>
        <w:t> </w:t>
      </w:r>
      <w:r w:rsidR="00CA788D" w:rsidRPr="00787EB4">
        <w:rPr>
          <w:rFonts w:ascii="Cambria" w:hAnsi="Cambria"/>
          <w:szCs w:val="24"/>
        </w:rPr>
        <w:t>v</w:t>
      </w:r>
      <w:r>
        <w:rPr>
          <w:rFonts w:ascii="Cambria" w:hAnsi="Cambria"/>
          <w:szCs w:val="24"/>
        </w:rPr>
        <w:t> </w:t>
      </w:r>
      <w:r w:rsidR="00CA788D" w:rsidRPr="00787EB4">
        <w:rPr>
          <w:rFonts w:ascii="Cambria" w:hAnsi="Cambria"/>
          <w:szCs w:val="24"/>
        </w:rPr>
        <w:t>dalších letech o 3,5 % a o 6 % v roce 2020 a dalších letech</w:t>
      </w:r>
    </w:p>
    <w:p w:rsidR="00CA788D" w:rsidRPr="00787EB4" w:rsidRDefault="00495E98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</w:t>
      </w:r>
      <w:r w:rsidR="00CA788D" w:rsidRPr="00787EB4">
        <w:rPr>
          <w:rFonts w:ascii="Cambria" w:hAnsi="Cambria"/>
          <w:szCs w:val="24"/>
        </w:rPr>
        <w:t>ově je doplněna možná forma plnění povinnosti o možnost uvedení LPG, CNG a</w:t>
      </w:r>
      <w:r>
        <w:rPr>
          <w:rFonts w:ascii="Cambria" w:hAnsi="Cambria"/>
          <w:szCs w:val="24"/>
        </w:rPr>
        <w:t> </w:t>
      </w:r>
      <w:r w:rsidR="00CA788D" w:rsidRPr="00787EB4">
        <w:rPr>
          <w:rFonts w:ascii="Cambria" w:hAnsi="Cambria"/>
          <w:szCs w:val="24"/>
        </w:rPr>
        <w:t>bioplynu do volného daňového oběhu pro dopravu, prodejem vodíku pro dopravní účely a dodáním elektřiny pro dopravní účely</w:t>
      </w:r>
    </w:p>
    <w:p w:rsidR="00CA788D" w:rsidRPr="00787EB4" w:rsidRDefault="00495E98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</w:t>
      </w:r>
      <w:r w:rsidR="00CA788D" w:rsidRPr="00787EB4">
        <w:rPr>
          <w:rFonts w:ascii="Cambria" w:hAnsi="Cambria"/>
          <w:szCs w:val="24"/>
        </w:rPr>
        <w:t>odavatelé motorového benzinu a motorové nafty se mohou sdružit jako společníci za účelem společného plnění povinností</w:t>
      </w:r>
    </w:p>
    <w:p w:rsidR="00CA788D" w:rsidRPr="00787EB4" w:rsidRDefault="00495E98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d</w:t>
      </w:r>
      <w:r w:rsidR="00CA788D" w:rsidRPr="00787EB4">
        <w:rPr>
          <w:rFonts w:ascii="Cambria" w:hAnsi="Cambria"/>
          <w:szCs w:val="24"/>
        </w:rPr>
        <w:t>odavatel motorového benzinu anebo motorové nafty může povinnost snížení emisí plnit i zohledněním snížení emisí z těžby ropy, a to až do výše 1</w:t>
      </w:r>
      <w:r>
        <w:rPr>
          <w:rFonts w:ascii="Cambria" w:hAnsi="Cambria"/>
          <w:szCs w:val="24"/>
        </w:rPr>
        <w:t> </w:t>
      </w:r>
      <w:r w:rsidR="00CA788D" w:rsidRPr="00787EB4">
        <w:rPr>
          <w:rFonts w:ascii="Cambria" w:hAnsi="Cambria"/>
          <w:szCs w:val="24"/>
        </w:rPr>
        <w:t>% základní hodnoty produkce emisí skleníkových plynů pro fosilní hmoty, která byla určena s </w:t>
      </w:r>
      <w:r>
        <w:rPr>
          <w:rFonts w:ascii="Cambria" w:hAnsi="Cambria"/>
          <w:szCs w:val="24"/>
        </w:rPr>
        <w:t>ú</w:t>
      </w:r>
      <w:r w:rsidR="00CA788D" w:rsidRPr="00787EB4">
        <w:rPr>
          <w:rFonts w:ascii="Cambria" w:hAnsi="Cambria"/>
          <w:szCs w:val="24"/>
        </w:rPr>
        <w:t>činností od 1.</w:t>
      </w:r>
      <w:r>
        <w:rPr>
          <w:rFonts w:ascii="Cambria" w:hAnsi="Cambria"/>
          <w:szCs w:val="24"/>
        </w:rPr>
        <w:t> </w:t>
      </w:r>
      <w:r w:rsidR="00CA788D" w:rsidRPr="00787EB4">
        <w:rPr>
          <w:rFonts w:ascii="Cambria" w:hAnsi="Cambria"/>
          <w:szCs w:val="24"/>
        </w:rPr>
        <w:t>1.</w:t>
      </w:r>
      <w:r>
        <w:rPr>
          <w:rFonts w:ascii="Cambria" w:hAnsi="Cambria"/>
          <w:szCs w:val="24"/>
        </w:rPr>
        <w:t> </w:t>
      </w:r>
      <w:r w:rsidR="00CA788D" w:rsidRPr="00787EB4">
        <w:rPr>
          <w:rFonts w:ascii="Cambria" w:hAnsi="Cambria"/>
          <w:szCs w:val="24"/>
        </w:rPr>
        <w:t>2019 nařízením vlády č. 189/2018</w:t>
      </w:r>
      <w:r>
        <w:rPr>
          <w:rFonts w:ascii="Cambria" w:hAnsi="Cambria"/>
          <w:szCs w:val="24"/>
        </w:rPr>
        <w:t> </w:t>
      </w:r>
      <w:r w:rsidR="00CA788D" w:rsidRPr="00787EB4">
        <w:rPr>
          <w:rFonts w:ascii="Cambria" w:hAnsi="Cambria"/>
          <w:szCs w:val="24"/>
        </w:rPr>
        <w:t xml:space="preserve">Sb. </w:t>
      </w:r>
      <w:r w:rsidR="006E120F" w:rsidRPr="006E120F">
        <w:rPr>
          <w:rFonts w:ascii="Cambria" w:hAnsi="Cambria"/>
          <w:szCs w:val="24"/>
        </w:rPr>
        <w:t xml:space="preserve">ve výši </w:t>
      </w:r>
      <w:r w:rsidR="00CA788D" w:rsidRPr="006E120F">
        <w:rPr>
          <w:rFonts w:ascii="Cambria" w:hAnsi="Cambria"/>
          <w:szCs w:val="24"/>
        </w:rPr>
        <w:t>94,1 gCO2/MJ</w:t>
      </w:r>
      <w:r w:rsidRPr="006E120F">
        <w:rPr>
          <w:rFonts w:ascii="Cambria" w:hAnsi="Cambria"/>
          <w:szCs w:val="24"/>
        </w:rPr>
        <w:t>;</w:t>
      </w:r>
      <w:r w:rsidR="00CA788D" w:rsidRPr="006E120F">
        <w:rPr>
          <w:rFonts w:ascii="Cambria" w:hAnsi="Cambria"/>
          <w:szCs w:val="24"/>
        </w:rPr>
        <w:t xml:space="preserve"> </w:t>
      </w:r>
      <w:r w:rsidRPr="006E120F">
        <w:rPr>
          <w:rFonts w:ascii="Cambria" w:hAnsi="Cambria"/>
          <w:szCs w:val="24"/>
        </w:rPr>
        <w:t>s</w:t>
      </w:r>
      <w:r w:rsidR="00CA788D" w:rsidRPr="006E120F">
        <w:rPr>
          <w:rFonts w:ascii="Cambria" w:hAnsi="Cambria"/>
          <w:szCs w:val="24"/>
        </w:rPr>
        <w:t>nížení</w:t>
      </w:r>
      <w:r w:rsidR="00CA788D" w:rsidRPr="00787EB4">
        <w:rPr>
          <w:rFonts w:ascii="Cambria" w:hAnsi="Cambria"/>
          <w:szCs w:val="24"/>
        </w:rPr>
        <w:t xml:space="preserve"> emisí musí být ověřeno autorizovanou osobou</w:t>
      </w:r>
    </w:p>
    <w:p w:rsidR="00CA788D" w:rsidRPr="00787EB4" w:rsidRDefault="00495E98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</w:t>
      </w:r>
      <w:r w:rsidR="00CA788D" w:rsidRPr="00787EB4">
        <w:rPr>
          <w:rFonts w:ascii="Cambria" w:hAnsi="Cambria"/>
          <w:szCs w:val="24"/>
        </w:rPr>
        <w:t xml:space="preserve">ákon </w:t>
      </w:r>
      <w:r w:rsidR="006E120F">
        <w:rPr>
          <w:rFonts w:ascii="Cambria" w:hAnsi="Cambria"/>
          <w:szCs w:val="24"/>
        </w:rPr>
        <w:t>uložil</w:t>
      </w:r>
      <w:r w:rsidR="00CA788D" w:rsidRPr="00787EB4">
        <w:rPr>
          <w:rFonts w:ascii="Cambria" w:hAnsi="Cambria"/>
          <w:szCs w:val="24"/>
        </w:rPr>
        <w:t xml:space="preserve"> MŽP </w:t>
      </w:r>
      <w:r w:rsidR="00CA788D" w:rsidRPr="006E120F">
        <w:rPr>
          <w:rFonts w:ascii="Cambria" w:hAnsi="Cambria"/>
          <w:szCs w:val="24"/>
        </w:rPr>
        <w:t>zpracovat do 31.</w:t>
      </w:r>
      <w:r w:rsidRPr="006E120F">
        <w:rPr>
          <w:rFonts w:ascii="Cambria" w:hAnsi="Cambria"/>
          <w:szCs w:val="24"/>
        </w:rPr>
        <w:t> </w:t>
      </w:r>
      <w:r w:rsidR="00CA788D" w:rsidRPr="006E120F">
        <w:rPr>
          <w:rFonts w:ascii="Cambria" w:hAnsi="Cambria"/>
          <w:szCs w:val="24"/>
        </w:rPr>
        <w:t>1.</w:t>
      </w:r>
      <w:r w:rsidRPr="006E120F">
        <w:rPr>
          <w:rFonts w:ascii="Cambria" w:hAnsi="Cambria"/>
          <w:szCs w:val="24"/>
        </w:rPr>
        <w:t> </w:t>
      </w:r>
      <w:r w:rsidR="00CA788D" w:rsidRPr="006E120F">
        <w:rPr>
          <w:rFonts w:ascii="Cambria" w:hAnsi="Cambria"/>
          <w:szCs w:val="24"/>
        </w:rPr>
        <w:t>2019 Národní</w:t>
      </w:r>
      <w:r w:rsidR="00CA788D" w:rsidRPr="00787EB4">
        <w:rPr>
          <w:rFonts w:ascii="Cambria" w:hAnsi="Cambria"/>
          <w:szCs w:val="24"/>
        </w:rPr>
        <w:t xml:space="preserve"> program snižování emisí ČR</w:t>
      </w:r>
    </w:p>
    <w:p w:rsidR="00CA788D" w:rsidRPr="00787EB4" w:rsidRDefault="00495E98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spacing w:after="60"/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</w:t>
      </w:r>
      <w:r w:rsidR="00CA788D" w:rsidRPr="00787EB4">
        <w:rPr>
          <w:rFonts w:ascii="Cambria" w:hAnsi="Cambria"/>
          <w:szCs w:val="24"/>
        </w:rPr>
        <w:t xml:space="preserve">ákon nezměnil „objemovou </w:t>
      </w:r>
      <w:proofErr w:type="spellStart"/>
      <w:r w:rsidR="00CA788D" w:rsidRPr="00787EB4">
        <w:rPr>
          <w:rFonts w:ascii="Cambria" w:hAnsi="Cambria"/>
          <w:szCs w:val="24"/>
        </w:rPr>
        <w:t>biopovinnost</w:t>
      </w:r>
      <w:proofErr w:type="spellEnd"/>
      <w:r w:rsidR="00CA788D" w:rsidRPr="00787EB4">
        <w:rPr>
          <w:rFonts w:ascii="Cambria" w:hAnsi="Cambria"/>
          <w:szCs w:val="24"/>
        </w:rPr>
        <w:t>“ užívat bio</w:t>
      </w:r>
      <w:r>
        <w:rPr>
          <w:rFonts w:ascii="Cambria" w:hAnsi="Cambria"/>
          <w:szCs w:val="24"/>
        </w:rPr>
        <w:t>s</w:t>
      </w:r>
      <w:r w:rsidR="00CA788D" w:rsidRPr="00787EB4">
        <w:rPr>
          <w:rFonts w:ascii="Cambria" w:hAnsi="Cambria"/>
          <w:szCs w:val="24"/>
        </w:rPr>
        <w:t>ložky v benzinu a motorové naftě určenou zákonem č.</w:t>
      </w:r>
      <w:r w:rsidR="00E258F4">
        <w:rPr>
          <w:rFonts w:ascii="Cambria" w:hAnsi="Cambria"/>
          <w:szCs w:val="24"/>
        </w:rPr>
        <w:t xml:space="preserve"> </w:t>
      </w:r>
      <w:r w:rsidR="00CA788D" w:rsidRPr="00787EB4">
        <w:rPr>
          <w:rFonts w:ascii="Cambria" w:hAnsi="Cambria"/>
          <w:szCs w:val="24"/>
        </w:rPr>
        <w:t>201/</w:t>
      </w:r>
      <w:r>
        <w:rPr>
          <w:rFonts w:ascii="Cambria" w:hAnsi="Cambria"/>
          <w:szCs w:val="24"/>
        </w:rPr>
        <w:t>2</w:t>
      </w:r>
      <w:r w:rsidR="00CA788D" w:rsidRPr="00787EB4">
        <w:rPr>
          <w:rFonts w:ascii="Cambria" w:hAnsi="Cambria"/>
          <w:szCs w:val="24"/>
        </w:rPr>
        <w:t>012</w:t>
      </w:r>
      <w:r>
        <w:rPr>
          <w:rFonts w:ascii="Cambria" w:hAnsi="Cambria"/>
          <w:szCs w:val="24"/>
        </w:rPr>
        <w:t> </w:t>
      </w:r>
      <w:r w:rsidR="00CA788D" w:rsidRPr="00787EB4">
        <w:rPr>
          <w:rFonts w:ascii="Cambria" w:hAnsi="Cambria"/>
          <w:szCs w:val="24"/>
        </w:rPr>
        <w:t xml:space="preserve">Sb., o ochraně ovzduší. </w:t>
      </w:r>
    </w:p>
    <w:p w:rsidR="00CA788D" w:rsidRPr="00D73A07" w:rsidRDefault="00CA788D" w:rsidP="00B45E81">
      <w:pPr>
        <w:pStyle w:val="Nadpis4"/>
        <w:ind w:hanging="720"/>
      </w:pPr>
      <w:bookmarkStart w:id="17" w:name="_Toc5881013"/>
      <w:bookmarkStart w:id="18" w:name="_Toc5959532"/>
      <w:r w:rsidRPr="00D73A07">
        <w:t>Novela zákona o podporovaných zdrojích energie a o změně některých zákonů, ve znění pozdějších předpisů</w:t>
      </w:r>
      <w:bookmarkEnd w:id="17"/>
      <w:bookmarkEnd w:id="18"/>
      <w:r w:rsidRPr="00D73A07">
        <w:t xml:space="preserve"> </w:t>
      </w:r>
    </w:p>
    <w:p w:rsidR="00CA788D" w:rsidRPr="00787EB4" w:rsidRDefault="00CA788D" w:rsidP="008F5E45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Pravidla pro oblast podpory obnovitelných zdrojů energie EU jsou stanovena ve směrnici Evropského parlamentu a Rady 2009/28/ES. Tato směrnice stanoví společný rámec pro podporu energie z obnovitelných zdrojů. Stanoví závazné národní cíle, pokud jde o</w:t>
      </w:r>
      <w:r w:rsidR="00AE4840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celkový podíl energie z OZE na hrubé konečné spotřebě energie a podíl obnovitelné energie v dopravě. Směrnice stanoví pravidla týkající se statistických převodů mezi členskými státy, společných projektů členských států a členských států a třetích zemí, záruk původu, správních postupů informování a vzdělávání a přístupu </w:t>
      </w:r>
      <w:r w:rsidR="00E43EE2" w:rsidRPr="00787EB4">
        <w:rPr>
          <w:rFonts w:ascii="Cambria" w:hAnsi="Cambria"/>
          <w:szCs w:val="24"/>
        </w:rPr>
        <w:t>energie z</w:t>
      </w:r>
      <w:r w:rsidRPr="00787EB4">
        <w:rPr>
          <w:rFonts w:ascii="Cambria" w:hAnsi="Cambria"/>
          <w:szCs w:val="24"/>
        </w:rPr>
        <w:t> OZE k distribuční soustavě a stanoví krit</w:t>
      </w:r>
      <w:r w:rsidR="00E43EE2">
        <w:rPr>
          <w:rFonts w:ascii="Cambria" w:hAnsi="Cambria"/>
          <w:szCs w:val="24"/>
        </w:rPr>
        <w:t>é</w:t>
      </w:r>
      <w:r w:rsidRPr="00787EB4">
        <w:rPr>
          <w:rFonts w:ascii="Cambria" w:hAnsi="Cambria"/>
          <w:szCs w:val="24"/>
        </w:rPr>
        <w:t xml:space="preserve">ria udržitelnosti pro biopaliva a </w:t>
      </w:r>
      <w:proofErr w:type="spellStart"/>
      <w:r w:rsidRPr="00787EB4">
        <w:rPr>
          <w:rFonts w:ascii="Cambria" w:hAnsi="Cambria"/>
          <w:szCs w:val="24"/>
        </w:rPr>
        <w:t>biokapaliny</w:t>
      </w:r>
      <w:proofErr w:type="spellEnd"/>
      <w:r w:rsidRPr="00787EB4">
        <w:rPr>
          <w:rFonts w:ascii="Cambria" w:hAnsi="Cambria"/>
          <w:szCs w:val="24"/>
        </w:rPr>
        <w:t xml:space="preserve">. </w:t>
      </w:r>
    </w:p>
    <w:p w:rsidR="00CA788D" w:rsidRPr="00787EB4" w:rsidRDefault="00CA788D" w:rsidP="008F5E45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Zmíněná směrnice je do české legislativy transponována novelou zákona č.</w:t>
      </w:r>
      <w:r w:rsidR="00E43EE2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165/2012</w:t>
      </w:r>
      <w:r w:rsidR="00E43EE2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Sb., o podporovaných zdrojích energie a o změně některých zákonů, prováděcích předpisů k tomuto zákonu a cenových rozhodnutí Energetického regulačního úřadu. Zákon uvádí pravidla pro provozní podporu elektřiny z obnovitelných zdrojů energie, druhotných zdrojů energie, vysokoúčinné kombinované výroby elektřiny a tepla a provozní a investiční podporu tepla z obnovitelných zdrojů. </w:t>
      </w:r>
    </w:p>
    <w:p w:rsidR="00CA788D" w:rsidRPr="00787EB4" w:rsidRDefault="00CA788D" w:rsidP="008F4E6B">
      <w:pPr>
        <w:pStyle w:val="Odstavecseseznamem"/>
        <w:widowControl/>
        <w:tabs>
          <w:tab w:val="left" w:pos="284"/>
        </w:tabs>
        <w:spacing w:after="12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Hlavním důvodem novely je transpozice závazků ČR, které vyplývají z rozhodnutí Evropské komise o slučitelnosti podpory energie získávané využitím obnovitelných zdrojů a kombinované výroby elektřiny a tepla. </w:t>
      </w:r>
      <w:r w:rsidR="00BB2E63">
        <w:rPr>
          <w:rFonts w:ascii="Cambria" w:hAnsi="Cambria"/>
          <w:szCs w:val="24"/>
        </w:rPr>
        <w:t>Evropská komise</w:t>
      </w:r>
      <w:r w:rsidRPr="00787EB4">
        <w:rPr>
          <w:rFonts w:ascii="Cambria" w:hAnsi="Cambria"/>
          <w:szCs w:val="24"/>
        </w:rPr>
        <w:t xml:space="preserve"> zavázala ČR přijmout konkrétní opatření k ověření přiměřenosti podpory</w:t>
      </w:r>
      <w:r w:rsidR="00BB2E63">
        <w:rPr>
          <w:rFonts w:ascii="Cambria" w:hAnsi="Cambria"/>
          <w:szCs w:val="24"/>
        </w:rPr>
        <w:t>,</w:t>
      </w:r>
      <w:r w:rsidRPr="00787EB4">
        <w:rPr>
          <w:rFonts w:ascii="Cambria" w:hAnsi="Cambria"/>
          <w:szCs w:val="24"/>
        </w:rPr>
        <w:t xml:space="preserve"> ale konstatovala, že systém uplatněný v ČR je slučitelný se zásadami EU. Ověřovací a kontrolní mechanismus je obsažen v návrhu nových ustanovení, která jsou doplněna do novely zákona. Ověřovací mechanismus (postup ověření) je složen z několika po sobě jdoucích navazujících kroků. Další rozsáhlá úprava novely je iniciována nutností plnit závazek ČR v oblasti využívání OZE, ve vazbě na požadavky dosáhnout podíl energie z obnovitelných zdrojů na celkové spotřebě energie v EU ve výši 32</w:t>
      </w:r>
      <w:r w:rsidR="00067EE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% podle tzv. zimního energetického balíčku „Čistá energie pro všechny Evropany“. Pro motivaci k využívání obnovitelných zdrojů bude od roku 2021 využíván systém aukcí. Celý mechanismus a postup aukčního systému k naplňování energetických potřeb vč. výroby a podpory BNG je uveden v návrh</w:t>
      </w:r>
      <w:r w:rsidR="00067EEC">
        <w:rPr>
          <w:rFonts w:ascii="Cambria" w:hAnsi="Cambria"/>
          <w:szCs w:val="24"/>
        </w:rPr>
        <w:t>u</w:t>
      </w:r>
      <w:r w:rsidRPr="00787EB4">
        <w:rPr>
          <w:rFonts w:ascii="Cambria" w:hAnsi="Cambria"/>
          <w:szCs w:val="24"/>
        </w:rPr>
        <w:t xml:space="preserve"> novely zákona č.165/2012</w:t>
      </w:r>
      <w:r w:rsidR="00067EEC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Sb.</w:t>
      </w:r>
    </w:p>
    <w:p w:rsidR="00CA788D" w:rsidRPr="00126CA4" w:rsidRDefault="00CA788D" w:rsidP="00627596">
      <w:pPr>
        <w:pStyle w:val="Nadpis3"/>
        <w:ind w:left="624" w:hanging="624"/>
      </w:pPr>
      <w:bookmarkStart w:id="19" w:name="_Toc5881014"/>
      <w:bookmarkStart w:id="20" w:name="_Toc5959533"/>
      <w:r w:rsidRPr="00126CA4">
        <w:t>Analýza plnění dopadů cílů legislativy na sortiment a kvalitu paliv pro silniční dopravu do roku 2030</w:t>
      </w:r>
      <w:bookmarkEnd w:id="19"/>
      <w:bookmarkEnd w:id="20"/>
    </w:p>
    <w:p w:rsidR="00CA788D" w:rsidRPr="00126CA4" w:rsidRDefault="00CA788D" w:rsidP="00126CA4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t>Obecně lze konstatovat, že realizace cílů stanovených ve směrnici 2018/2001 nebude mít zásadní dopad na sortiment a kvalitu dnes na trhu nabízených paliv pro silniční dopravu a ostatní druhy dopravy. Bude mít však vliv na související změnu surovinové základny a technologie pro výrobu zejména alternativních paliv (vyspělých biopaliv a</w:t>
      </w:r>
      <w:r w:rsidR="00126CA4">
        <w:rPr>
          <w:rFonts w:ascii="Cambria" w:hAnsi="Cambria"/>
          <w:szCs w:val="24"/>
        </w:rPr>
        <w:t> </w:t>
      </w:r>
      <w:r w:rsidRPr="00126CA4">
        <w:rPr>
          <w:rFonts w:ascii="Cambria" w:hAnsi="Cambria"/>
          <w:szCs w:val="24"/>
        </w:rPr>
        <w:t xml:space="preserve">vodíku). </w:t>
      </w:r>
    </w:p>
    <w:p w:rsidR="00CA788D" w:rsidRPr="00126CA4" w:rsidRDefault="00CA788D" w:rsidP="00126CA4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lastRenderedPageBreak/>
        <w:t>V období 2021 až 2025 poroste výrazně podíl CNG a po vybudování potřebných technologií na čištění a vtlačování biometanu do sítě zemního plynu začne částečná náhrada CNG biometanem. V stejném období se začne uplatňovat ve větší míře elektřina z OZE pro pohon elektromobilů. Ta bude závislá nejen na vybudování infrastruktury nabíjecích stanic, ale zejména na zvyšování podílu elektromobilů ve stávajícím složení autoparku. Domníváme se, že by především státní a komunální správa tam, kde to je z technických a ekonomických důvodů možné</w:t>
      </w:r>
      <w:r w:rsidR="00126CA4">
        <w:rPr>
          <w:rFonts w:ascii="Cambria" w:hAnsi="Cambria"/>
          <w:szCs w:val="24"/>
        </w:rPr>
        <w:t>,</w:t>
      </w:r>
      <w:r w:rsidRPr="00126CA4">
        <w:rPr>
          <w:rFonts w:ascii="Cambria" w:hAnsi="Cambria"/>
          <w:szCs w:val="24"/>
        </w:rPr>
        <w:t xml:space="preserve"> nahradila vozidla se spalovacím motorem elektromobily (Česká pošta). Podíl fosilních paliv z ropy bude na konci období asi 75 až 80</w:t>
      </w:r>
      <w:r w:rsidR="00940067">
        <w:rPr>
          <w:rFonts w:ascii="Cambria" w:hAnsi="Cambria"/>
          <w:szCs w:val="24"/>
        </w:rPr>
        <w:t> </w:t>
      </w:r>
      <w:r w:rsidRPr="00126CA4">
        <w:rPr>
          <w:rFonts w:ascii="Cambria" w:hAnsi="Cambria"/>
          <w:szCs w:val="24"/>
        </w:rPr>
        <w:t>%. Jejich součástí budou z cca 7</w:t>
      </w:r>
      <w:r w:rsidR="00126CA4">
        <w:rPr>
          <w:rFonts w:ascii="Cambria" w:hAnsi="Cambria"/>
          <w:szCs w:val="24"/>
        </w:rPr>
        <w:t> </w:t>
      </w:r>
      <w:r w:rsidRPr="00126CA4">
        <w:rPr>
          <w:rFonts w:ascii="Cambria" w:hAnsi="Cambria"/>
          <w:szCs w:val="24"/>
        </w:rPr>
        <w:t xml:space="preserve">% ještě biopaliva </w:t>
      </w:r>
      <w:r w:rsidR="00126CA4">
        <w:rPr>
          <w:rFonts w:ascii="Cambria" w:hAnsi="Cambria"/>
          <w:szCs w:val="24"/>
        </w:rPr>
        <w:t>1. </w:t>
      </w:r>
      <w:r w:rsidRPr="00126CA4">
        <w:rPr>
          <w:rFonts w:ascii="Cambria" w:hAnsi="Cambria"/>
          <w:szCs w:val="24"/>
        </w:rPr>
        <w:t>generace a cca z</w:t>
      </w:r>
      <w:r w:rsidR="00126CA4">
        <w:rPr>
          <w:rFonts w:ascii="Cambria" w:hAnsi="Cambria"/>
          <w:szCs w:val="24"/>
        </w:rPr>
        <w:t> </w:t>
      </w:r>
      <w:r w:rsidRPr="00126CA4">
        <w:rPr>
          <w:rFonts w:ascii="Cambria" w:hAnsi="Cambria"/>
          <w:szCs w:val="24"/>
        </w:rPr>
        <w:t>1</w:t>
      </w:r>
      <w:r w:rsidR="00126CA4">
        <w:rPr>
          <w:rFonts w:ascii="Cambria" w:hAnsi="Cambria"/>
          <w:szCs w:val="24"/>
        </w:rPr>
        <w:t> </w:t>
      </w:r>
      <w:r w:rsidRPr="00126CA4">
        <w:rPr>
          <w:rFonts w:ascii="Cambria" w:hAnsi="Cambria"/>
          <w:szCs w:val="24"/>
        </w:rPr>
        <w:t>% vyspělá biopaliva</w:t>
      </w:r>
      <w:r w:rsidR="00915045">
        <w:rPr>
          <w:rFonts w:ascii="Cambria" w:hAnsi="Cambria"/>
          <w:szCs w:val="24"/>
        </w:rPr>
        <w:t>,</w:t>
      </w:r>
      <w:r w:rsidRPr="00126CA4">
        <w:rPr>
          <w:rFonts w:ascii="Cambria" w:hAnsi="Cambria"/>
          <w:szCs w:val="24"/>
        </w:rPr>
        <w:t xml:space="preserve"> a to </w:t>
      </w:r>
      <w:r w:rsidR="00915045">
        <w:rPr>
          <w:rFonts w:ascii="Cambria" w:hAnsi="Cambria"/>
          <w:szCs w:val="24"/>
        </w:rPr>
        <w:t>s</w:t>
      </w:r>
      <w:r w:rsidRPr="00126CA4">
        <w:rPr>
          <w:rFonts w:ascii="Cambria" w:hAnsi="Cambria"/>
          <w:szCs w:val="24"/>
        </w:rPr>
        <w:t xml:space="preserve"> největší pravděpodobností HVO a BNG. </w:t>
      </w:r>
    </w:p>
    <w:p w:rsidR="00CA788D" w:rsidRPr="00126CA4" w:rsidRDefault="00CA788D" w:rsidP="00126CA4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t xml:space="preserve">Na konci tohoto období se začne používat pro pohon i vodík (zatím ze stávajících technologií). Za účelné považujeme jeho spotřebu realizovat především ve vozidlech s palivovými články. </w:t>
      </w:r>
    </w:p>
    <w:p w:rsidR="00CA788D" w:rsidRPr="00126CA4" w:rsidRDefault="00CA788D" w:rsidP="00126CA4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t xml:space="preserve">V rozvoji autoparku vidíme perspektivu ve vozidlech s hybridním motorem. </w:t>
      </w:r>
    </w:p>
    <w:p w:rsidR="00CA788D" w:rsidRPr="00126CA4" w:rsidRDefault="00CA788D" w:rsidP="00640606">
      <w:pPr>
        <w:pStyle w:val="Odstavecseseznamem"/>
        <w:widowControl/>
        <w:tabs>
          <w:tab w:val="left" w:pos="284"/>
        </w:tabs>
        <w:spacing w:after="4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t xml:space="preserve">Pravděpodobný sortiment paliv pro silniční dopravu: </w:t>
      </w:r>
    </w:p>
    <w:p w:rsidR="00CA788D" w:rsidRPr="00126CA4" w:rsidRDefault="00640606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</w:t>
      </w:r>
      <w:r w:rsidR="00CA788D" w:rsidRPr="00126CA4">
        <w:rPr>
          <w:rFonts w:ascii="Cambria" w:hAnsi="Cambria"/>
          <w:szCs w:val="24"/>
        </w:rPr>
        <w:t>otorový benzin s OČ 95 a min.</w:t>
      </w:r>
      <w:r>
        <w:rPr>
          <w:rFonts w:ascii="Cambria" w:hAnsi="Cambria"/>
          <w:szCs w:val="24"/>
        </w:rPr>
        <w:t xml:space="preserve"> </w:t>
      </w:r>
      <w:r w:rsidR="00CA788D" w:rsidRPr="00126CA4">
        <w:rPr>
          <w:rFonts w:ascii="Cambria" w:hAnsi="Cambria"/>
          <w:szCs w:val="24"/>
        </w:rPr>
        <w:t xml:space="preserve">98 v kvalitě E10 a bez biosložky </w:t>
      </w:r>
    </w:p>
    <w:p w:rsidR="00CA788D" w:rsidRPr="00126CA4" w:rsidRDefault="00640606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</w:t>
      </w:r>
      <w:r w:rsidR="00CA788D" w:rsidRPr="00126CA4">
        <w:rPr>
          <w:rFonts w:ascii="Cambria" w:hAnsi="Cambria"/>
          <w:szCs w:val="24"/>
        </w:rPr>
        <w:t>otorová nafta v kvalitě B7 a bez biosložky</w:t>
      </w:r>
    </w:p>
    <w:p w:rsidR="00CA788D" w:rsidRPr="00126CA4" w:rsidRDefault="00640606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</w:t>
      </w:r>
      <w:r w:rsidR="00CA788D" w:rsidRPr="00126CA4">
        <w:rPr>
          <w:rFonts w:ascii="Cambria" w:hAnsi="Cambria"/>
          <w:szCs w:val="24"/>
        </w:rPr>
        <w:t>měsné palivo B20 nebo B30 (podle zájmu trhu)</w:t>
      </w:r>
    </w:p>
    <w:p w:rsidR="00CA788D" w:rsidRPr="00126CA4" w:rsidRDefault="00640606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</w:t>
      </w:r>
      <w:r w:rsidR="00CA788D" w:rsidRPr="00126CA4">
        <w:rPr>
          <w:rFonts w:ascii="Cambria" w:hAnsi="Cambria"/>
          <w:szCs w:val="24"/>
        </w:rPr>
        <w:t>tlačený zemní plyn a biometan</w:t>
      </w:r>
    </w:p>
    <w:p w:rsidR="00CA788D" w:rsidRPr="00126CA4" w:rsidRDefault="00640606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spacing w:after="60"/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</w:t>
      </w:r>
      <w:r w:rsidR="00CA788D" w:rsidRPr="00126CA4">
        <w:rPr>
          <w:rFonts w:ascii="Cambria" w:hAnsi="Cambria"/>
          <w:szCs w:val="24"/>
        </w:rPr>
        <w:t>lektřina z OZE.</w:t>
      </w:r>
    </w:p>
    <w:p w:rsidR="00CA788D" w:rsidRPr="00126CA4" w:rsidRDefault="00CA788D" w:rsidP="00126CA4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t>Na trhu může být koncem období nabízena směs motorové nafty dle EN 590 až s</w:t>
      </w:r>
      <w:r w:rsidR="00640606">
        <w:rPr>
          <w:rFonts w:ascii="Cambria" w:hAnsi="Cambria"/>
          <w:szCs w:val="24"/>
        </w:rPr>
        <w:t> </w:t>
      </w:r>
      <w:r w:rsidRPr="00126CA4">
        <w:rPr>
          <w:rFonts w:ascii="Cambria" w:hAnsi="Cambria"/>
          <w:szCs w:val="24"/>
        </w:rPr>
        <w:t>5</w:t>
      </w:r>
      <w:r w:rsidR="00640606">
        <w:rPr>
          <w:rFonts w:ascii="Cambria" w:hAnsi="Cambria"/>
          <w:szCs w:val="24"/>
        </w:rPr>
        <w:t> </w:t>
      </w:r>
      <w:r w:rsidRPr="00126CA4">
        <w:rPr>
          <w:rFonts w:ascii="Cambria" w:hAnsi="Cambria"/>
          <w:szCs w:val="24"/>
        </w:rPr>
        <w:t xml:space="preserve">% </w:t>
      </w:r>
      <w:r w:rsidRPr="006E120F">
        <w:rPr>
          <w:rFonts w:ascii="Cambria" w:hAnsi="Cambria"/>
          <w:szCs w:val="24"/>
        </w:rPr>
        <w:t>objem. HVO.</w:t>
      </w:r>
      <w:r w:rsidRPr="00126CA4">
        <w:rPr>
          <w:rFonts w:ascii="Cambria" w:hAnsi="Cambria"/>
          <w:szCs w:val="24"/>
        </w:rPr>
        <w:t xml:space="preserve"> </w:t>
      </w:r>
    </w:p>
    <w:p w:rsidR="00CA788D" w:rsidRPr="00126CA4" w:rsidRDefault="00CA788D" w:rsidP="00126CA4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t xml:space="preserve">V období 2026 až 2030 bude objem spotřeby standardních fosilních paliv automobilového benzinu a motorové nafty stagnovat a nárůst spotřeby bude ještě v CNG </w:t>
      </w:r>
      <w:r w:rsidRPr="006E120F">
        <w:rPr>
          <w:rFonts w:ascii="Cambria" w:hAnsi="Cambria"/>
          <w:szCs w:val="24"/>
        </w:rPr>
        <w:t>a elektřin</w:t>
      </w:r>
      <w:r w:rsidR="006E120F" w:rsidRPr="006E120F">
        <w:rPr>
          <w:rFonts w:ascii="Cambria" w:hAnsi="Cambria"/>
          <w:szCs w:val="24"/>
        </w:rPr>
        <w:t>ě</w:t>
      </w:r>
      <w:r w:rsidRPr="00126CA4">
        <w:rPr>
          <w:rFonts w:ascii="Cambria" w:hAnsi="Cambria"/>
          <w:szCs w:val="24"/>
        </w:rPr>
        <w:t xml:space="preserve"> z OZE pro elektromobily. Začne opatrně růst spotřeba vodíku. Temp</w:t>
      </w:r>
      <w:r w:rsidR="009E2CCA">
        <w:rPr>
          <w:rFonts w:ascii="Cambria" w:hAnsi="Cambria"/>
          <w:szCs w:val="24"/>
        </w:rPr>
        <w:t>o</w:t>
      </w:r>
      <w:r w:rsidRPr="00126CA4">
        <w:rPr>
          <w:rFonts w:ascii="Cambria" w:hAnsi="Cambria"/>
          <w:szCs w:val="24"/>
        </w:rPr>
        <w:t xml:space="preserve"> růstu bude určovat obměna autoparku (v podstatě ekonomická situace obyvatel) a dokončení infrastruktury dobíjecích stanic a plnicích stanic vodíku. Na konci období začne stagnovat i spotřeba vyspělých biopaliv. </w:t>
      </w:r>
    </w:p>
    <w:p w:rsidR="00CA788D" w:rsidRPr="00126CA4" w:rsidRDefault="00CA788D" w:rsidP="00126CA4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t>Ještě do roku 2030 až 2035 budou dominovat standardní paliva na bázi ropy. Jejich podíl na trhu odhadujeme ke zmíněn</w:t>
      </w:r>
      <w:r w:rsidR="009E2CCA">
        <w:rPr>
          <w:rFonts w:ascii="Cambria" w:hAnsi="Cambria"/>
          <w:szCs w:val="24"/>
        </w:rPr>
        <w:t>ému období</w:t>
      </w:r>
      <w:r w:rsidRPr="00126CA4">
        <w:rPr>
          <w:rFonts w:ascii="Cambria" w:hAnsi="Cambria"/>
          <w:szCs w:val="24"/>
        </w:rPr>
        <w:t xml:space="preserve"> na 70 až 75 % celkové spotřeby. </w:t>
      </w:r>
    </w:p>
    <w:p w:rsidR="00CA788D" w:rsidRPr="00126CA4" w:rsidRDefault="00CA788D" w:rsidP="00BE08C5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t>Kvalita bude v podstatě na úrovni předchozích let. Budou však trval</w:t>
      </w:r>
      <w:r w:rsidR="00BE08C5">
        <w:rPr>
          <w:rFonts w:ascii="Cambria" w:hAnsi="Cambria"/>
          <w:szCs w:val="24"/>
        </w:rPr>
        <w:t>e</w:t>
      </w:r>
      <w:r w:rsidRPr="00126CA4">
        <w:rPr>
          <w:rFonts w:ascii="Cambria" w:hAnsi="Cambria"/>
          <w:szCs w:val="24"/>
        </w:rPr>
        <w:t xml:space="preserve"> zlepšovány ekologické parametry</w:t>
      </w:r>
      <w:r w:rsidR="00BE08C5">
        <w:rPr>
          <w:rFonts w:ascii="Cambria" w:hAnsi="Cambria"/>
          <w:szCs w:val="24"/>
        </w:rPr>
        <w:t>,</w:t>
      </w:r>
      <w:r w:rsidRPr="00126CA4">
        <w:rPr>
          <w:rFonts w:ascii="Cambria" w:hAnsi="Cambria"/>
          <w:szCs w:val="24"/>
        </w:rPr>
        <w:t xml:space="preserve"> jako </w:t>
      </w:r>
      <w:r w:rsidR="00BE08C5">
        <w:rPr>
          <w:rFonts w:ascii="Cambria" w:hAnsi="Cambria"/>
          <w:szCs w:val="24"/>
        </w:rPr>
        <w:t xml:space="preserve">je </w:t>
      </w:r>
      <w:r w:rsidRPr="00126CA4">
        <w:rPr>
          <w:rFonts w:ascii="Cambria" w:hAnsi="Cambria"/>
          <w:szCs w:val="24"/>
        </w:rPr>
        <w:t>snižování obsahu aromatických uhlovodíků a pevných prachových částic (PM2,5) o velikosti menší než 2,5 µm.</w:t>
      </w:r>
    </w:p>
    <w:p w:rsidR="00CA788D" w:rsidRPr="00126CA4" w:rsidRDefault="00CA788D" w:rsidP="00126CA4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t xml:space="preserve">Tento vývoj je podmíněn technickými podmínkami konstrukce vozidel a v menší míře stavem infrastruktury, která by měla být v roce 2030 ukončena. </w:t>
      </w:r>
    </w:p>
    <w:p w:rsidR="00CA788D" w:rsidRPr="00126CA4" w:rsidRDefault="00CA788D" w:rsidP="00BE08C5">
      <w:pPr>
        <w:pStyle w:val="Odstavecseseznamem"/>
        <w:widowControl/>
        <w:tabs>
          <w:tab w:val="left" w:pos="284"/>
        </w:tabs>
        <w:spacing w:after="120"/>
        <w:ind w:left="0"/>
        <w:contextualSpacing w:val="0"/>
        <w:rPr>
          <w:rFonts w:ascii="Cambria" w:hAnsi="Cambria"/>
          <w:szCs w:val="24"/>
        </w:rPr>
      </w:pPr>
      <w:r w:rsidRPr="00126CA4">
        <w:rPr>
          <w:rFonts w:ascii="Cambria" w:hAnsi="Cambria"/>
          <w:szCs w:val="24"/>
        </w:rPr>
        <w:t>Jiný vývoj sortimentu paliv může nastat</w:t>
      </w:r>
      <w:r w:rsidR="00BE08C5">
        <w:rPr>
          <w:rFonts w:ascii="Cambria" w:hAnsi="Cambria"/>
          <w:szCs w:val="24"/>
        </w:rPr>
        <w:t>,</w:t>
      </w:r>
      <w:r w:rsidRPr="00126CA4">
        <w:rPr>
          <w:rFonts w:ascii="Cambria" w:hAnsi="Cambria"/>
          <w:szCs w:val="24"/>
        </w:rPr>
        <w:t xml:space="preserve"> pokud dojde k výrazným změnám v daňové politice uhlíkových paliv. </w:t>
      </w:r>
    </w:p>
    <w:p w:rsidR="00CA788D" w:rsidRPr="00BE08C5" w:rsidRDefault="00CA788D" w:rsidP="00D74D4A">
      <w:pPr>
        <w:pStyle w:val="Nadpis2"/>
        <w:numPr>
          <w:ilvl w:val="0"/>
          <w:numId w:val="19"/>
        </w:numPr>
        <w:ind w:left="567" w:hanging="567"/>
      </w:pPr>
      <w:bookmarkStart w:id="21" w:name="_Toc5881015"/>
      <w:bookmarkStart w:id="22" w:name="_Toc5959534"/>
      <w:r w:rsidRPr="00BE08C5">
        <w:t>Náplň zaměření a hlavních výzkumných témat v oblasti alternativních paliv pro silniční dopravu</w:t>
      </w:r>
      <w:bookmarkEnd w:id="21"/>
      <w:bookmarkEnd w:id="22"/>
    </w:p>
    <w:p w:rsidR="00CA788D" w:rsidRPr="0051340E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51340E">
        <w:rPr>
          <w:rFonts w:ascii="Cambria" w:hAnsi="Cambria"/>
          <w:szCs w:val="24"/>
        </w:rPr>
        <w:t>Navržená témata v oblasti alternativních paliv korespondují s cíli energetické politiky EU a ČR v letech 2021 až 2030.</w:t>
      </w:r>
    </w:p>
    <w:p w:rsidR="00E36C7F" w:rsidRDefault="00CA788D" w:rsidP="00E36C7F">
      <w:pPr>
        <w:pStyle w:val="Odstavecseseznamem"/>
        <w:widowControl/>
        <w:tabs>
          <w:tab w:val="left" w:pos="284"/>
        </w:tabs>
        <w:spacing w:after="120"/>
        <w:ind w:left="0"/>
        <w:contextualSpacing w:val="0"/>
        <w:rPr>
          <w:rFonts w:ascii="Cambria" w:hAnsi="Cambria"/>
          <w:szCs w:val="24"/>
        </w:rPr>
      </w:pPr>
      <w:r w:rsidRPr="0051340E">
        <w:rPr>
          <w:rFonts w:ascii="Cambria" w:hAnsi="Cambria"/>
          <w:szCs w:val="24"/>
        </w:rPr>
        <w:t xml:space="preserve">V průběhu období 2021 až 2030 mohou </w:t>
      </w:r>
      <w:r w:rsidR="00E50638">
        <w:rPr>
          <w:rFonts w:ascii="Cambria" w:hAnsi="Cambria"/>
          <w:szCs w:val="24"/>
        </w:rPr>
        <w:t xml:space="preserve">být </w:t>
      </w:r>
      <w:r w:rsidRPr="0051340E">
        <w:rPr>
          <w:rFonts w:ascii="Cambria" w:hAnsi="Cambria"/>
          <w:szCs w:val="24"/>
        </w:rPr>
        <w:t xml:space="preserve">některá témata s ohledem na technický rozvoj potlačena až zrušena a nahrazena jinými efektivnějšími. </w:t>
      </w:r>
    </w:p>
    <w:p w:rsidR="00CA788D" w:rsidRPr="004E1CB4" w:rsidRDefault="006A4DFA" w:rsidP="00D74D4A">
      <w:pPr>
        <w:pStyle w:val="Nadpis3"/>
        <w:numPr>
          <w:ilvl w:val="0"/>
          <w:numId w:val="25"/>
        </w:numPr>
        <w:ind w:hanging="720"/>
      </w:pPr>
      <w:r>
        <w:br w:type="page"/>
      </w:r>
      <w:bookmarkStart w:id="23" w:name="_Toc5959535"/>
      <w:r w:rsidR="004E1CB4" w:rsidRPr="004E1CB4">
        <w:lastRenderedPageBreak/>
        <w:t>T</w:t>
      </w:r>
      <w:r w:rsidR="00262DE5" w:rsidRPr="004E1CB4">
        <w:t>éma</w:t>
      </w:r>
      <w:r w:rsidR="00CA788D" w:rsidRPr="004E1CB4">
        <w:t xml:space="preserve"> 1</w:t>
      </w:r>
      <w:r w:rsidR="00262DE5" w:rsidRPr="004E1CB4">
        <w:t>:</w:t>
      </w:r>
      <w:r w:rsidR="00CA788D" w:rsidRPr="004E1CB4">
        <w:t xml:space="preserve"> Hydrogenované rostlinné oleje</w:t>
      </w:r>
      <w:bookmarkEnd w:id="23"/>
    </w:p>
    <w:p w:rsidR="00CA788D" w:rsidRPr="00787EB4" w:rsidRDefault="00CA788D" w:rsidP="00E1222B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Hydrogenované rostlinné oleje (HVO) j</w:t>
      </w:r>
      <w:r w:rsidR="00262DE5">
        <w:rPr>
          <w:rFonts w:ascii="Cambria" w:hAnsi="Cambria"/>
          <w:szCs w:val="24"/>
        </w:rPr>
        <w:t>sou</w:t>
      </w:r>
      <w:r w:rsidRPr="00787EB4">
        <w:rPr>
          <w:rFonts w:ascii="Cambria" w:hAnsi="Cambria"/>
          <w:szCs w:val="24"/>
        </w:rPr>
        <w:t xml:space="preserve"> obecným názvem směsi n-</w:t>
      </w:r>
      <w:proofErr w:type="spellStart"/>
      <w:r w:rsidRPr="00787EB4">
        <w:rPr>
          <w:rFonts w:ascii="Cambria" w:hAnsi="Cambria"/>
          <w:szCs w:val="24"/>
        </w:rPr>
        <w:t>parafinických</w:t>
      </w:r>
      <w:proofErr w:type="spellEnd"/>
      <w:r w:rsidRPr="00787EB4">
        <w:rPr>
          <w:rFonts w:ascii="Cambria" w:hAnsi="Cambria"/>
          <w:szCs w:val="24"/>
        </w:rPr>
        <w:t xml:space="preserve"> a</w:t>
      </w:r>
      <w:r w:rsidR="00262DE5">
        <w:rPr>
          <w:rFonts w:ascii="Cambria" w:hAnsi="Cambria"/>
          <w:szCs w:val="24"/>
        </w:rPr>
        <w:t> </w:t>
      </w:r>
      <w:proofErr w:type="spellStart"/>
      <w:r w:rsidRPr="00787EB4">
        <w:rPr>
          <w:rFonts w:ascii="Cambria" w:hAnsi="Cambria"/>
          <w:szCs w:val="24"/>
        </w:rPr>
        <w:t>iso</w:t>
      </w:r>
      <w:r w:rsidR="00E1222B">
        <w:rPr>
          <w:rFonts w:ascii="Cambria" w:hAnsi="Cambria"/>
          <w:szCs w:val="24"/>
        </w:rPr>
        <w:noBreakHyphen/>
      </w:r>
      <w:r w:rsidR="00262DE5">
        <w:rPr>
          <w:rFonts w:ascii="Cambria" w:hAnsi="Cambria"/>
          <w:szCs w:val="24"/>
        </w:rPr>
        <w:t>p</w:t>
      </w:r>
      <w:r w:rsidRPr="00787EB4">
        <w:rPr>
          <w:rFonts w:ascii="Cambria" w:hAnsi="Cambria"/>
          <w:szCs w:val="24"/>
        </w:rPr>
        <w:t>arafinických</w:t>
      </w:r>
      <w:proofErr w:type="spellEnd"/>
      <w:r w:rsidRPr="00787EB4">
        <w:rPr>
          <w:rFonts w:ascii="Cambria" w:hAnsi="Cambria"/>
          <w:szCs w:val="24"/>
        </w:rPr>
        <w:t xml:space="preserve"> uhlovodíků (C15 až C17) vyrobených hydrogenací nenasycených </w:t>
      </w:r>
      <w:r w:rsidR="00262DE5" w:rsidRPr="00787EB4">
        <w:rPr>
          <w:rFonts w:ascii="Cambria" w:hAnsi="Cambria"/>
          <w:szCs w:val="24"/>
        </w:rPr>
        <w:t>mastných kyselin rostlinného</w:t>
      </w:r>
      <w:r w:rsidRPr="00787EB4">
        <w:rPr>
          <w:rFonts w:ascii="Cambria" w:hAnsi="Cambria"/>
          <w:szCs w:val="24"/>
        </w:rPr>
        <w:t xml:space="preserve"> původu (řepkový, kokosový a jiný olej). Podmínkou je délka uhlovodíkového řetězce. Reakční podmínky jsou velmi podobné běžným hydrogenačním technologií známým z petrolejářského průmyslu. Vzniklá uhlovodíková směs má velmi dobré jakostní ukazatele ve srovnání s obdobnými ropnými uhlovodíky. Jedná se zejména o vyšší cetanové číslo, nulový obsah síry a aromátů a po procesu </w:t>
      </w:r>
      <w:r w:rsidR="00262DE5" w:rsidRPr="006E120F">
        <w:rPr>
          <w:rFonts w:ascii="Cambria" w:hAnsi="Cambria"/>
          <w:szCs w:val="24"/>
        </w:rPr>
        <w:t>i</w:t>
      </w:r>
      <w:r w:rsidRPr="006E120F">
        <w:rPr>
          <w:rFonts w:ascii="Cambria" w:hAnsi="Cambria"/>
          <w:szCs w:val="24"/>
        </w:rPr>
        <w:t>zomerac</w:t>
      </w:r>
      <w:r w:rsidR="006E120F" w:rsidRPr="006E120F">
        <w:rPr>
          <w:rFonts w:ascii="Cambria" w:hAnsi="Cambria"/>
          <w:szCs w:val="24"/>
        </w:rPr>
        <w:t>e</w:t>
      </w:r>
      <w:r w:rsidRPr="00787EB4">
        <w:rPr>
          <w:rFonts w:ascii="Cambria" w:hAnsi="Cambria"/>
          <w:szCs w:val="24"/>
        </w:rPr>
        <w:t xml:space="preserve"> výborné nízkoteplotní vlastnosti. Jakostní parametry HVO jsou dány ČSN EN 15940 Motorová paliva – </w:t>
      </w:r>
      <w:proofErr w:type="spellStart"/>
      <w:r w:rsidRPr="00787EB4">
        <w:rPr>
          <w:rFonts w:ascii="Cambria" w:hAnsi="Cambria"/>
          <w:szCs w:val="24"/>
        </w:rPr>
        <w:t>Parafinické</w:t>
      </w:r>
      <w:proofErr w:type="spellEnd"/>
      <w:r w:rsidRPr="00787EB4">
        <w:rPr>
          <w:rFonts w:ascii="Cambria" w:hAnsi="Cambria"/>
          <w:szCs w:val="24"/>
        </w:rPr>
        <w:t xml:space="preserve"> motorové nafty získané syntézou nebo hydrogenací –Technické požadavky a metody zkoušení. To je určuje jako výbornou komponentu pro palivo pro Dieselovy motory. </w:t>
      </w:r>
    </w:p>
    <w:p w:rsidR="00CA788D" w:rsidRPr="00787EB4" w:rsidRDefault="00CA788D" w:rsidP="00262DE5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HVO se </w:t>
      </w:r>
      <w:r w:rsidR="00E1222B">
        <w:rPr>
          <w:rFonts w:ascii="Cambria" w:hAnsi="Cambria"/>
          <w:szCs w:val="24"/>
        </w:rPr>
        <w:t>o</w:t>
      </w:r>
      <w:r w:rsidRPr="00787EB4">
        <w:rPr>
          <w:rFonts w:ascii="Cambria" w:hAnsi="Cambria"/>
          <w:szCs w:val="24"/>
        </w:rPr>
        <w:t>bvykle se používá ve směsi s běžnou motorovou naftou dle ČSN EN 590.</w:t>
      </w:r>
    </w:p>
    <w:p w:rsidR="00CA788D" w:rsidRPr="00787EB4" w:rsidRDefault="00CA788D" w:rsidP="00262DE5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V podstatě jsou k dispozici dvě základní technologie: výroba „čistého HVO“ a „co-</w:t>
      </w:r>
      <w:proofErr w:type="spellStart"/>
      <w:r w:rsidRPr="00787EB4">
        <w:rPr>
          <w:rFonts w:ascii="Cambria" w:hAnsi="Cambria"/>
          <w:szCs w:val="24"/>
        </w:rPr>
        <w:t>processing</w:t>
      </w:r>
      <w:proofErr w:type="spellEnd"/>
      <w:r w:rsidRPr="00787EB4">
        <w:rPr>
          <w:rFonts w:ascii="Cambria" w:hAnsi="Cambria"/>
          <w:szCs w:val="24"/>
        </w:rPr>
        <w:t xml:space="preserve">“, kdy se hydrogenaci podrobuje směs rostlinných olejů s ropnými produkty  středními a plynovými oleji. </w:t>
      </w:r>
    </w:p>
    <w:p w:rsidR="00CA788D" w:rsidRPr="00787EB4" w:rsidRDefault="00CA788D" w:rsidP="00262DE5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HVO oproti motorové naftě z ropy vykazuje úsporu cca 40 až 60 % emisí skleníkových plynů. Vedlejšími výrobky je </w:t>
      </w:r>
      <w:proofErr w:type="spellStart"/>
      <w:r w:rsidRPr="00787EB4">
        <w:rPr>
          <w:rFonts w:ascii="Cambria" w:hAnsi="Cambria"/>
          <w:szCs w:val="24"/>
        </w:rPr>
        <w:t>biobenzin</w:t>
      </w:r>
      <w:proofErr w:type="spellEnd"/>
      <w:r w:rsidRPr="00787EB4">
        <w:rPr>
          <w:rFonts w:ascii="Cambria" w:hAnsi="Cambria"/>
          <w:szCs w:val="24"/>
        </w:rPr>
        <w:t xml:space="preserve"> a </w:t>
      </w:r>
      <w:proofErr w:type="spellStart"/>
      <w:r w:rsidRPr="00787EB4">
        <w:rPr>
          <w:rFonts w:ascii="Cambria" w:hAnsi="Cambria"/>
          <w:szCs w:val="24"/>
        </w:rPr>
        <w:t>bioLPG</w:t>
      </w:r>
      <w:proofErr w:type="spellEnd"/>
      <w:r w:rsidRPr="00787EB4">
        <w:rPr>
          <w:rFonts w:ascii="Cambria" w:hAnsi="Cambria"/>
          <w:szCs w:val="24"/>
        </w:rPr>
        <w:t>.</w:t>
      </w:r>
    </w:p>
    <w:p w:rsidR="00CA788D" w:rsidRPr="00787EB4" w:rsidRDefault="00CA788D" w:rsidP="00262DE5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V Evropě je technologie výroby HVO využívána v řadě rafinérií jako např. finské společností N</w:t>
      </w:r>
      <w:r w:rsidR="00E1222B" w:rsidRPr="00787EB4">
        <w:rPr>
          <w:rFonts w:ascii="Cambria" w:hAnsi="Cambria"/>
          <w:szCs w:val="24"/>
        </w:rPr>
        <w:t>este</w:t>
      </w:r>
      <w:r w:rsidRPr="00787EB4">
        <w:rPr>
          <w:rFonts w:ascii="Cambria" w:hAnsi="Cambria"/>
          <w:szCs w:val="24"/>
        </w:rPr>
        <w:t xml:space="preserve"> </w:t>
      </w:r>
      <w:proofErr w:type="spellStart"/>
      <w:r w:rsidR="00E1222B">
        <w:rPr>
          <w:rFonts w:ascii="Cambria" w:hAnsi="Cambria"/>
          <w:szCs w:val="24"/>
        </w:rPr>
        <w:t>Oyj</w:t>
      </w:r>
      <w:proofErr w:type="spellEnd"/>
      <w:r w:rsidRPr="00787EB4">
        <w:rPr>
          <w:rFonts w:ascii="Cambria" w:hAnsi="Cambria"/>
          <w:szCs w:val="24"/>
        </w:rPr>
        <w:t xml:space="preserve">, OMV </w:t>
      </w:r>
      <w:proofErr w:type="spellStart"/>
      <w:r w:rsidRPr="00787EB4">
        <w:rPr>
          <w:rFonts w:ascii="Cambria" w:hAnsi="Cambria"/>
          <w:szCs w:val="24"/>
        </w:rPr>
        <w:t>Schwechat</w:t>
      </w:r>
      <w:proofErr w:type="spellEnd"/>
      <w:r w:rsidRPr="00787EB4">
        <w:rPr>
          <w:rFonts w:ascii="Cambria" w:hAnsi="Cambria"/>
          <w:szCs w:val="24"/>
        </w:rPr>
        <w:t xml:space="preserve"> a francouzské společnosti TOTAL. Celková kapacita k roku 2018 je asi 3,7 mil. tun/rok a v roce 2020 se očekává kapacita v úrovni 6</w:t>
      </w:r>
      <w:r w:rsidR="00E1222B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až 7 mil. tun/rok. </w:t>
      </w:r>
    </w:p>
    <w:p w:rsidR="00CA788D" w:rsidRPr="00787EB4" w:rsidRDefault="00E1222B" w:rsidP="00262DE5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 roce 2016 byl v</w:t>
      </w:r>
      <w:r w:rsidR="00CA788D" w:rsidRPr="00787EB4">
        <w:rPr>
          <w:rFonts w:ascii="Cambria" w:hAnsi="Cambria"/>
          <w:szCs w:val="24"/>
        </w:rPr>
        <w:t> ČR zatím uskutečněn pilotní projekt výroby HVO na bázi dovezeného UCO v rafinerii Litvínov. Projekt ověřil možnost výroby HVO na stávajícím zařízení rafinérie „co</w:t>
      </w:r>
      <w:r>
        <w:rPr>
          <w:rFonts w:ascii="Cambria" w:hAnsi="Cambria"/>
          <w:szCs w:val="24"/>
        </w:rPr>
        <w:noBreakHyphen/>
      </w:r>
      <w:proofErr w:type="spellStart"/>
      <w:r w:rsidR="00CA788D" w:rsidRPr="00787EB4">
        <w:rPr>
          <w:rFonts w:ascii="Cambria" w:hAnsi="Cambria"/>
          <w:szCs w:val="24"/>
        </w:rPr>
        <w:t>processingovou</w:t>
      </w:r>
      <w:proofErr w:type="spellEnd"/>
      <w:r w:rsidR="00CA788D" w:rsidRPr="00787EB4">
        <w:rPr>
          <w:rFonts w:ascii="Cambria" w:hAnsi="Cambria"/>
          <w:szCs w:val="24"/>
        </w:rPr>
        <w:t xml:space="preserve">“ technologií. </w:t>
      </w:r>
    </w:p>
    <w:p w:rsidR="00CA788D" w:rsidRPr="00787EB4" w:rsidRDefault="00CA788D" w:rsidP="00262DE5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Za hlavní problém výroby HVO je třeba považovat zajištění suroviny pro jeho výrobu. V podmínkách ČR se jeví jako nejvhodnější upotřebené kuchyňské oleje (UCO a nejedlé </w:t>
      </w:r>
      <w:r w:rsidRPr="006E120F">
        <w:rPr>
          <w:rFonts w:ascii="Cambria" w:hAnsi="Cambria"/>
          <w:szCs w:val="24"/>
        </w:rPr>
        <w:t xml:space="preserve">rostlinné </w:t>
      </w:r>
      <w:r w:rsidR="00EB7164" w:rsidRPr="006E120F">
        <w:rPr>
          <w:rFonts w:ascii="Cambria" w:hAnsi="Cambria"/>
          <w:szCs w:val="24"/>
        </w:rPr>
        <w:t>oleje – řepkový</w:t>
      </w:r>
      <w:r w:rsidRPr="006E120F">
        <w:rPr>
          <w:rFonts w:ascii="Cambria" w:hAnsi="Cambria"/>
          <w:szCs w:val="24"/>
        </w:rPr>
        <w:t xml:space="preserve"> olej</w:t>
      </w:r>
      <w:r w:rsidRPr="00787EB4">
        <w:rPr>
          <w:rFonts w:ascii="Cambria" w:hAnsi="Cambria"/>
          <w:szCs w:val="24"/>
        </w:rPr>
        <w:t>). V současné době se sbírají v </w:t>
      </w:r>
      <w:r w:rsidR="00EB7164">
        <w:rPr>
          <w:rFonts w:ascii="Cambria" w:hAnsi="Cambria"/>
          <w:szCs w:val="24"/>
        </w:rPr>
        <w:t>pouze</w:t>
      </w:r>
      <w:r w:rsidRPr="00787EB4">
        <w:rPr>
          <w:rFonts w:ascii="Cambria" w:hAnsi="Cambria"/>
          <w:szCs w:val="24"/>
        </w:rPr>
        <w:t xml:space="preserve"> velmi omezené míře na bázi dobrovolnosti sběru organizovaného některými městy. V případě této omezené formy sběru je využívaná komunální organizace. Sebraný UCO se především využívá jako palivo. Ve většině se UCO původem z domácností likviduje v kanalizaci, což způsobuje velké problémy v provozování sítě, v menší části je využíváno jako co-palivo s pevným palivem (uhlí, dříví) v místních lokálních topeništích.</w:t>
      </w:r>
    </w:p>
    <w:p w:rsidR="00CA788D" w:rsidRPr="00787EB4" w:rsidRDefault="00CA788D" w:rsidP="00EB7164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V příloze je uveden první návrh na řízené nakládání s UCO.</w:t>
      </w:r>
    </w:p>
    <w:p w:rsidR="00CA788D" w:rsidRPr="00CC4461" w:rsidRDefault="00CA788D" w:rsidP="00D74D4A">
      <w:pPr>
        <w:pStyle w:val="Nadpis4"/>
        <w:numPr>
          <w:ilvl w:val="0"/>
          <w:numId w:val="23"/>
        </w:numPr>
        <w:ind w:hanging="720"/>
      </w:pPr>
      <w:bookmarkStart w:id="24" w:name="_Toc5959536"/>
      <w:r w:rsidRPr="00940067">
        <w:t>Zaměření</w:t>
      </w:r>
      <w:r w:rsidRPr="00CC4461">
        <w:t xml:space="preserve"> a cíle</w:t>
      </w:r>
      <w:bookmarkEnd w:id="24"/>
    </w:p>
    <w:p w:rsidR="00CA788D" w:rsidRPr="00787EB4" w:rsidRDefault="00CA788D" w:rsidP="00CC4461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ČR má s ohledem na volné rafinérské hydrogenační kapacity a zdroje vodíku z petrochemických procesů reálnou možnost realizovat komerční výrobu HVO, nejlépe co-</w:t>
      </w:r>
      <w:proofErr w:type="spellStart"/>
      <w:r w:rsidRPr="00787EB4">
        <w:rPr>
          <w:rFonts w:ascii="Cambria" w:hAnsi="Cambria"/>
        </w:rPr>
        <w:t>processingem</w:t>
      </w:r>
      <w:proofErr w:type="spellEnd"/>
      <w:r w:rsidRPr="00787EB4">
        <w:rPr>
          <w:rFonts w:ascii="Cambria" w:hAnsi="Cambria"/>
        </w:rPr>
        <w:t xml:space="preserve"> s plynovými oleji pro</w:t>
      </w:r>
      <w:r w:rsidR="006E120F">
        <w:rPr>
          <w:rFonts w:ascii="Cambria" w:hAnsi="Cambria"/>
        </w:rPr>
        <w:t xml:space="preserve"> výrobu</w:t>
      </w:r>
      <w:r w:rsidRPr="00787EB4">
        <w:rPr>
          <w:rFonts w:ascii="Cambria" w:hAnsi="Cambria"/>
        </w:rPr>
        <w:t xml:space="preserve"> motorovou naftu. Problémem může být zajištění suroviny pro výrobu HVO z domácích zdrojů. Realizovatelnost komerční jednotky může být směrována do rafinérie Litvínov nebo rafinérie PARAMO (má nezávislou jednotku na výrobu vodíku ze zemního plynu). </w:t>
      </w:r>
    </w:p>
    <w:p w:rsidR="00CA788D" w:rsidRPr="00787EB4" w:rsidRDefault="00CA788D" w:rsidP="00CC4461">
      <w:pPr>
        <w:spacing w:after="40"/>
        <w:rPr>
          <w:rFonts w:ascii="Cambria" w:hAnsi="Cambria"/>
        </w:rPr>
      </w:pPr>
      <w:r w:rsidRPr="00787EB4">
        <w:rPr>
          <w:rFonts w:ascii="Cambria" w:hAnsi="Cambria"/>
        </w:rPr>
        <w:t xml:space="preserve">Přínosy pro plnění cílů RED II: </w:t>
      </w:r>
    </w:p>
    <w:p w:rsidR="00CA788D" w:rsidRPr="006E120F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</w:rPr>
      </w:pPr>
      <w:r w:rsidRPr="00787EB4">
        <w:rPr>
          <w:rFonts w:ascii="Cambria" w:hAnsi="Cambria"/>
        </w:rPr>
        <w:t>při prakticky stejné výhřevnosti HVO a motorové nafty má HVO nižší standardní emise skleníkových plynů (</w:t>
      </w:r>
      <w:r w:rsidRPr="006E120F">
        <w:rPr>
          <w:rFonts w:ascii="Cambria" w:hAnsi="Cambria"/>
        </w:rPr>
        <w:t>HVO 55</w:t>
      </w:r>
      <w:r w:rsidR="006E120F" w:rsidRPr="006E120F">
        <w:rPr>
          <w:rFonts w:ascii="Cambria" w:hAnsi="Cambria"/>
        </w:rPr>
        <w:t xml:space="preserve"> </w:t>
      </w:r>
      <w:r w:rsidRPr="006E120F">
        <w:rPr>
          <w:rFonts w:ascii="Cambria" w:hAnsi="Cambria"/>
        </w:rPr>
        <w:t>gCO2ekv/MJ a motorová nafta 95,1 gCO2ekv/MJ)</w:t>
      </w:r>
    </w:p>
    <w:p w:rsidR="00CA788D" w:rsidRPr="00787EB4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</w:rPr>
      </w:pPr>
      <w:r w:rsidRPr="00787EB4">
        <w:rPr>
          <w:rFonts w:ascii="Cambria" w:hAnsi="Cambria"/>
        </w:rPr>
        <w:lastRenderedPageBreak/>
        <w:t xml:space="preserve">HVO lze v motorové naftě nahradit až 30 % fosilní složky </w:t>
      </w:r>
    </w:p>
    <w:p w:rsidR="00CA788D" w:rsidRPr="00787EB4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ind w:left="284" w:hanging="284"/>
        <w:contextualSpacing w:val="0"/>
        <w:rPr>
          <w:rFonts w:ascii="Cambria" w:hAnsi="Cambria"/>
        </w:rPr>
      </w:pPr>
      <w:r w:rsidRPr="00787EB4">
        <w:rPr>
          <w:rFonts w:ascii="Cambria" w:hAnsi="Cambria"/>
        </w:rPr>
        <w:t xml:space="preserve">HVO je velmi dobře mísitelné s motorovou naftou dle ČSN EN 590 a výrazně zlepšuje užitné a ekologické vlastnosti </w:t>
      </w:r>
      <w:r w:rsidR="00CC4461">
        <w:rPr>
          <w:rFonts w:ascii="Cambria" w:hAnsi="Cambria"/>
        </w:rPr>
        <w:t>d</w:t>
      </w:r>
      <w:r w:rsidRPr="00787EB4">
        <w:rPr>
          <w:rFonts w:ascii="Cambria" w:hAnsi="Cambria"/>
        </w:rPr>
        <w:t>ieselového paliv</w:t>
      </w:r>
      <w:r w:rsidR="00CC4461">
        <w:rPr>
          <w:rFonts w:ascii="Cambria" w:hAnsi="Cambria"/>
        </w:rPr>
        <w:t>a</w:t>
      </w:r>
      <w:r w:rsidRPr="00787EB4">
        <w:rPr>
          <w:rFonts w:ascii="Cambria" w:hAnsi="Cambria"/>
        </w:rPr>
        <w:t xml:space="preserve">, zejména zimní vlastnosti </w:t>
      </w:r>
    </w:p>
    <w:p w:rsidR="00CA788D" w:rsidRPr="00787EB4" w:rsidRDefault="00CA788D" w:rsidP="00D74D4A">
      <w:pPr>
        <w:pStyle w:val="Odstavecseseznamem"/>
        <w:widowControl/>
        <w:numPr>
          <w:ilvl w:val="0"/>
          <w:numId w:val="9"/>
        </w:numPr>
        <w:tabs>
          <w:tab w:val="left" w:pos="284"/>
        </w:tabs>
        <w:spacing w:after="60"/>
        <w:ind w:left="284" w:hanging="284"/>
        <w:contextualSpacing w:val="0"/>
        <w:rPr>
          <w:rFonts w:ascii="Cambria" w:hAnsi="Cambria"/>
        </w:rPr>
      </w:pPr>
      <w:r w:rsidRPr="00787EB4">
        <w:rPr>
          <w:rFonts w:ascii="Cambria" w:hAnsi="Cambria"/>
        </w:rPr>
        <w:t>vedlejším produktem jsou ropné plyny</w:t>
      </w:r>
      <w:r w:rsidR="00CC4461">
        <w:rPr>
          <w:rFonts w:ascii="Cambria" w:hAnsi="Cambria"/>
        </w:rPr>
        <w:t>,</w:t>
      </w:r>
      <w:r w:rsidRPr="00787EB4">
        <w:rPr>
          <w:rFonts w:ascii="Cambria" w:hAnsi="Cambria"/>
        </w:rPr>
        <w:t xml:space="preserve"> zejména propan (bio LPG), který lze z pohledu legislativy RED II považovat za produkt</w:t>
      </w:r>
      <w:r w:rsidR="00CC4461">
        <w:rPr>
          <w:rFonts w:ascii="Cambria" w:hAnsi="Cambria"/>
        </w:rPr>
        <w:t>,</w:t>
      </w:r>
      <w:r w:rsidRPr="00787EB4">
        <w:rPr>
          <w:rFonts w:ascii="Cambria" w:hAnsi="Cambria"/>
        </w:rPr>
        <w:t xml:space="preserve"> jehož prostřednictví lze plnit cíle.</w:t>
      </w:r>
    </w:p>
    <w:p w:rsidR="00CA788D" w:rsidRPr="00787EB4" w:rsidRDefault="00CA788D" w:rsidP="00CC4461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Hlavní</w:t>
      </w:r>
      <w:r w:rsidR="00CC4461">
        <w:rPr>
          <w:rFonts w:ascii="Cambria" w:hAnsi="Cambria"/>
        </w:rPr>
        <w:t>m</w:t>
      </w:r>
      <w:r w:rsidRPr="00787EB4">
        <w:rPr>
          <w:rFonts w:ascii="Cambria" w:hAnsi="Cambria"/>
        </w:rPr>
        <w:t xml:space="preserve"> problém</w:t>
      </w:r>
      <w:r w:rsidR="00CC4461">
        <w:rPr>
          <w:rFonts w:ascii="Cambria" w:hAnsi="Cambria"/>
        </w:rPr>
        <w:t>em</w:t>
      </w:r>
      <w:r w:rsidRPr="00787EB4">
        <w:rPr>
          <w:rFonts w:ascii="Cambria" w:hAnsi="Cambria"/>
        </w:rPr>
        <w:t xml:space="preserve"> zavedení komerční výroby v ČR je zajištění surovinové základny.</w:t>
      </w:r>
    </w:p>
    <w:p w:rsidR="00CA788D" w:rsidRPr="00787EB4" w:rsidRDefault="00CA788D" w:rsidP="00D74D4A">
      <w:pPr>
        <w:pStyle w:val="Nadpis4"/>
        <w:numPr>
          <w:ilvl w:val="0"/>
          <w:numId w:val="23"/>
        </w:numPr>
        <w:ind w:hanging="720"/>
      </w:pPr>
      <w:r w:rsidRPr="00787EB4">
        <w:t xml:space="preserve"> </w:t>
      </w:r>
      <w:bookmarkStart w:id="25" w:name="_Toc5959537"/>
      <w:r w:rsidR="00CC4461">
        <w:t>S</w:t>
      </w:r>
      <w:r w:rsidRPr="00787EB4">
        <w:t>tručný popis tématu</w:t>
      </w:r>
      <w:bookmarkEnd w:id="25"/>
    </w:p>
    <w:p w:rsidR="00CA788D" w:rsidRPr="00787EB4" w:rsidRDefault="00CA788D" w:rsidP="00CC4461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Surovinou pro výrobu HVO jsou rostlinné oleje nepotravinářské</w:t>
      </w:r>
      <w:r w:rsidR="00CC4461">
        <w:rPr>
          <w:rFonts w:ascii="Cambria" w:hAnsi="Cambria"/>
        </w:rPr>
        <w:t>h</w:t>
      </w:r>
      <w:r w:rsidRPr="00787EB4">
        <w:rPr>
          <w:rFonts w:ascii="Cambria" w:hAnsi="Cambria"/>
        </w:rPr>
        <w:t>o použití a odpadní rostlinné oleje a případě živočišné tuky.  Ty se po vyčištění a úpravě podrobují hydrogenaci vodíkem za těchto obvyklých technologických podmínek, které jsou závislé na použité surovině: teplota cca 350 °C, tlak větší než 45 bar, katalyzátor Ni-Co nebo Ni-Co /Oxid křemičitý a hlinitý, LHSV 1,5 h-1 a poměr plynu k surovině 500Nm3/m3.</w:t>
      </w:r>
    </w:p>
    <w:p w:rsidR="00CA788D" w:rsidRPr="00CC4461" w:rsidRDefault="00CA788D" w:rsidP="00CC4461">
      <w:pPr>
        <w:pStyle w:val="Obsah2"/>
      </w:pPr>
      <w:r w:rsidRPr="00CC4461">
        <w:t xml:space="preserve">Vzniklá surovinová směs  se rozdělí destilací. Kapalné uhlovodíky se mohou užít přímo pro mísení do nafty nebo podrobit ke zlepšení vlastností </w:t>
      </w:r>
      <w:r w:rsidRPr="006E120F">
        <w:t xml:space="preserve">procesem </w:t>
      </w:r>
      <w:r w:rsidR="006E120F" w:rsidRPr="006E120F">
        <w:t>i</w:t>
      </w:r>
      <w:r w:rsidRPr="006E120F">
        <w:t>zomerace, kterým</w:t>
      </w:r>
      <w:r w:rsidRPr="00CC4461">
        <w:t xml:space="preserve"> lze docílit zlepšení zejména nízkoteplotních vlastností paliva. Jako technologického zařízení pro výrobu HVO lze použít po jednoduché rekonstrukci stávajících </w:t>
      </w:r>
      <w:r w:rsidR="00CC4461">
        <w:t>h</w:t>
      </w:r>
      <w:r w:rsidRPr="00CC4461">
        <w:t>ydrogenačních technologií petroleje a plynového oleje v rafin</w:t>
      </w:r>
      <w:r w:rsidR="00CC4461">
        <w:t>é</w:t>
      </w:r>
      <w:r w:rsidRPr="00CC4461">
        <w:t>rii Litvínov, Kralupy a</w:t>
      </w:r>
      <w:r w:rsidR="00CC4461">
        <w:t> </w:t>
      </w:r>
      <w:r w:rsidRPr="00CC4461">
        <w:t xml:space="preserve">Pardubice. </w:t>
      </w:r>
    </w:p>
    <w:p w:rsidR="00CA788D" w:rsidRPr="00787EB4" w:rsidRDefault="00CA788D" w:rsidP="00442EF2">
      <w:pPr>
        <w:spacing w:after="120"/>
        <w:rPr>
          <w:rFonts w:ascii="Cambria" w:hAnsi="Cambria"/>
        </w:rPr>
      </w:pPr>
      <w:r w:rsidRPr="00787EB4">
        <w:rPr>
          <w:rFonts w:ascii="Cambria" w:hAnsi="Cambria"/>
        </w:rPr>
        <w:t xml:space="preserve">Mísení HVO a dalších složek (petrolej, plynový olej, </w:t>
      </w:r>
      <w:proofErr w:type="spellStart"/>
      <w:r w:rsidRPr="00787EB4">
        <w:rPr>
          <w:rFonts w:ascii="Cambria" w:hAnsi="Cambria"/>
        </w:rPr>
        <w:t>aditivace</w:t>
      </w:r>
      <w:proofErr w:type="spellEnd"/>
      <w:r w:rsidRPr="00787EB4">
        <w:rPr>
          <w:rFonts w:ascii="Cambria" w:hAnsi="Cambria"/>
        </w:rPr>
        <w:t>) probíhá za stejných podmínek jako výroba standardní motorové nafty. Distribuce ke spotřebiteli je stejná jako v případě motorové nafty.</w:t>
      </w:r>
    </w:p>
    <w:p w:rsidR="00CA788D" w:rsidRPr="00787EB4" w:rsidRDefault="00442EF2" w:rsidP="00D74D4A">
      <w:pPr>
        <w:pStyle w:val="Nadpis3"/>
        <w:numPr>
          <w:ilvl w:val="0"/>
          <w:numId w:val="22"/>
        </w:numPr>
        <w:ind w:hanging="720"/>
      </w:pPr>
      <w:bookmarkStart w:id="26" w:name="_Toc5959538"/>
      <w:r>
        <w:t xml:space="preserve">Téma 2: </w:t>
      </w:r>
      <w:r w:rsidR="00CA788D" w:rsidRPr="00787EB4">
        <w:t>Biometan</w:t>
      </w:r>
      <w:bookmarkEnd w:id="26"/>
    </w:p>
    <w:p w:rsidR="00CA788D" w:rsidRPr="00787EB4" w:rsidRDefault="00CA788D" w:rsidP="00442EF2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 xml:space="preserve">Biometan je základní </w:t>
      </w:r>
      <w:proofErr w:type="spellStart"/>
      <w:r w:rsidRPr="00787EB4">
        <w:rPr>
          <w:rFonts w:ascii="Cambria" w:hAnsi="Cambria"/>
        </w:rPr>
        <w:t>parafinický</w:t>
      </w:r>
      <w:proofErr w:type="spellEnd"/>
      <w:r w:rsidRPr="00787EB4">
        <w:rPr>
          <w:rFonts w:ascii="Cambria" w:hAnsi="Cambria"/>
        </w:rPr>
        <w:t xml:space="preserve"> uhlovodík chemicky analog metanu (CH4) vyrobený z biomasy anaerobním procesem kvašení. Je určen pro výrobu tepla a elektřiny v místních lokálních zdrojích. S ohledem na jeho původ z biomasy (rostlinné zbytky, odpady ze živočišné výroby, BKO a výroby ze zbytků potravinářské a krmivářské výroby) je uznaným vyspělým biopalivem. V kvalitě dle ČSN 65 6514 se může používat pro pohon vozidel se spalovacím motorem. Surový biometan se však před použitím v dopravě musí vyčistit.</w:t>
      </w:r>
    </w:p>
    <w:p w:rsidR="00CA788D" w:rsidRPr="00787EB4" w:rsidRDefault="00CA788D" w:rsidP="00442EF2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Vedle toho se v přírodě vyskytuje zemní plyn</w:t>
      </w:r>
      <w:r w:rsidR="00442EF2">
        <w:rPr>
          <w:rFonts w:ascii="Cambria" w:hAnsi="Cambria"/>
        </w:rPr>
        <w:t>,</w:t>
      </w:r>
      <w:r w:rsidRPr="00787EB4">
        <w:rPr>
          <w:rFonts w:ascii="Cambria" w:hAnsi="Cambria"/>
        </w:rPr>
        <w:t xml:space="preserve"> což je také v podstatě metan vzniklý však proces</w:t>
      </w:r>
      <w:r w:rsidR="00442EF2">
        <w:rPr>
          <w:rFonts w:ascii="Cambria" w:hAnsi="Cambria"/>
        </w:rPr>
        <w:t>em</w:t>
      </w:r>
      <w:r w:rsidRPr="00787EB4">
        <w:rPr>
          <w:rFonts w:ascii="Cambria" w:hAnsi="Cambria"/>
        </w:rPr>
        <w:t xml:space="preserve"> kvašení biomasy v hluboké minulosti v zemské kůře. Dobývá se ze země těžením v</w:t>
      </w:r>
      <w:r w:rsidR="00442EF2">
        <w:rPr>
          <w:rFonts w:ascii="Cambria" w:hAnsi="Cambria"/>
        </w:rPr>
        <w:t> </w:t>
      </w:r>
      <w:r w:rsidRPr="00787EB4">
        <w:rPr>
          <w:rFonts w:ascii="Cambria" w:hAnsi="Cambria"/>
        </w:rPr>
        <w:t>plynné fázi a používá se pro výrobu tepla a elektřiny v průmyslu a</w:t>
      </w:r>
      <w:r w:rsidR="00442EF2">
        <w:rPr>
          <w:rFonts w:ascii="Cambria" w:hAnsi="Cambria"/>
        </w:rPr>
        <w:t> </w:t>
      </w:r>
      <w:r w:rsidRPr="00787EB4">
        <w:rPr>
          <w:rFonts w:ascii="Cambria" w:hAnsi="Cambria"/>
        </w:rPr>
        <w:t xml:space="preserve">v domácnostech. Dále se užívá jako palivo pro pohon vozidel se spalovacím motorem. </w:t>
      </w:r>
    </w:p>
    <w:p w:rsidR="00CA788D" w:rsidRPr="00787EB4" w:rsidRDefault="00CA788D" w:rsidP="00442EF2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V ČR se  ročně vyrobí cca 1,2 mld. m3 BNG.</w:t>
      </w:r>
    </w:p>
    <w:p w:rsidR="00CA788D" w:rsidRPr="00787EB4" w:rsidRDefault="00CA788D" w:rsidP="00442EF2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Pro použití v dopravě musí být  potrubní dopravou dopraven do plnicích stanic, které jsou obvykle součástí čerpacích stanic kapalných paliv. Dopravuje se v komprimované plynné formě.</w:t>
      </w:r>
    </w:p>
    <w:p w:rsidR="00CA788D" w:rsidRPr="00610AF8" w:rsidRDefault="00CA788D" w:rsidP="00D74D4A">
      <w:pPr>
        <w:pStyle w:val="Nadpis4"/>
        <w:numPr>
          <w:ilvl w:val="0"/>
          <w:numId w:val="24"/>
        </w:numPr>
        <w:ind w:hanging="720"/>
      </w:pPr>
      <w:bookmarkStart w:id="27" w:name="_Toc5959539"/>
      <w:r w:rsidRPr="00610AF8">
        <w:t>Zaměření a cíle</w:t>
      </w:r>
      <w:bookmarkEnd w:id="27"/>
    </w:p>
    <w:p w:rsidR="00CA788D" w:rsidRPr="00787EB4" w:rsidRDefault="00CA788D" w:rsidP="00116A80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Použití BNG v dopravě je založeno na využití odpadní biomasy pro výrobu energie z OZE. Jeho výhodou j</w:t>
      </w:r>
      <w:r w:rsidR="00774053">
        <w:rPr>
          <w:rFonts w:ascii="Cambria" w:hAnsi="Cambria"/>
        </w:rPr>
        <w:t>sou</w:t>
      </w:r>
      <w:r w:rsidRPr="00787EB4">
        <w:rPr>
          <w:rFonts w:ascii="Cambria" w:hAnsi="Cambria"/>
        </w:rPr>
        <w:t xml:space="preserve"> při vysoké výhřevnosti (34 MJ/m3) nízké emise skleníkových plynů 69,3 MJ/m3 ve srovnání s běžnými palivy. </w:t>
      </w:r>
    </w:p>
    <w:p w:rsidR="00CA788D" w:rsidRPr="00787EB4" w:rsidRDefault="00CA788D" w:rsidP="00116A80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 xml:space="preserve">V současné době veškerý BNG využívají malí a střední zemědělští výrobci k místní výrobě elektřiny a tepla, které se spotřebovávají na místě výroby. </w:t>
      </w:r>
    </w:p>
    <w:p w:rsidR="00CA788D" w:rsidRPr="00787EB4" w:rsidRDefault="00CA788D" w:rsidP="00116A80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Výroba energie z OZE bude podporována formou tzv. „zeleného bonusu“</w:t>
      </w:r>
      <w:r w:rsidR="00774053">
        <w:rPr>
          <w:rFonts w:ascii="Cambria" w:hAnsi="Cambria"/>
        </w:rPr>
        <w:t>,</w:t>
      </w:r>
      <w:r w:rsidRPr="00787EB4">
        <w:rPr>
          <w:rFonts w:ascii="Cambria" w:hAnsi="Cambria"/>
        </w:rPr>
        <w:t xml:space="preserve"> pokud bude </w:t>
      </w:r>
      <w:r w:rsidRPr="00787EB4">
        <w:rPr>
          <w:rFonts w:ascii="Cambria" w:hAnsi="Cambria"/>
        </w:rPr>
        <w:lastRenderedPageBreak/>
        <w:t>produkt určen pro sektor dopravy nebo pro výrobu energie OZE.</w:t>
      </w:r>
    </w:p>
    <w:p w:rsidR="00CA788D" w:rsidRPr="00787EB4" w:rsidRDefault="00CA788D" w:rsidP="00D74D4A">
      <w:pPr>
        <w:pStyle w:val="Nadpis4"/>
        <w:numPr>
          <w:ilvl w:val="0"/>
          <w:numId w:val="24"/>
        </w:numPr>
        <w:ind w:hanging="720"/>
      </w:pPr>
      <w:bookmarkStart w:id="28" w:name="_Toc5959540"/>
      <w:r w:rsidRPr="00787EB4">
        <w:t>Stručný popis tématu</w:t>
      </w:r>
      <w:bookmarkEnd w:id="28"/>
    </w:p>
    <w:p w:rsidR="00CA788D" w:rsidRPr="00787EB4" w:rsidRDefault="00CA788D" w:rsidP="00B02D87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Výhodou BNG je, že výrobny bioplynu jsou již vybudovány a úspěšně provozovány řadu let. K užití v dopravě bude muset být však realizována technologie jeho čištění na kvalitu definovanou ČSN 65 6514 a potrubní síť pro vtláčení do středotlakového potrubí zemního plynu.</w:t>
      </w:r>
    </w:p>
    <w:p w:rsidR="00CA788D" w:rsidRPr="00787EB4" w:rsidRDefault="00CA788D" w:rsidP="00B02D87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Vzhledem k tomu, že zemědělská výroba vlastní produkcí bioplynu má k dispozici levný zdroj energie (např. pro sušení plodin)</w:t>
      </w:r>
      <w:r w:rsidR="00B02D87">
        <w:rPr>
          <w:rFonts w:ascii="Cambria" w:hAnsi="Cambria"/>
        </w:rPr>
        <w:t>,</w:t>
      </w:r>
      <w:r w:rsidRPr="00787EB4">
        <w:rPr>
          <w:rFonts w:ascii="Cambria" w:hAnsi="Cambria"/>
        </w:rPr>
        <w:t xml:space="preserve"> je velmi málo pravděpodobné, že se tohoto zdroje vzdá ve prospěch dopravy. </w:t>
      </w:r>
    </w:p>
    <w:p w:rsidR="00CA788D" w:rsidRPr="00787EB4" w:rsidRDefault="00CA788D" w:rsidP="003E1614">
      <w:pPr>
        <w:spacing w:after="120"/>
        <w:rPr>
          <w:rFonts w:ascii="Cambria" w:hAnsi="Cambria"/>
        </w:rPr>
      </w:pPr>
      <w:r w:rsidRPr="00787EB4">
        <w:rPr>
          <w:rFonts w:ascii="Cambria" w:hAnsi="Cambria"/>
        </w:rPr>
        <w:t xml:space="preserve">Stát bude muset legislativně zajistit </w:t>
      </w:r>
      <w:proofErr w:type="spellStart"/>
      <w:r w:rsidRPr="00787EB4">
        <w:rPr>
          <w:rFonts w:ascii="Cambria" w:hAnsi="Cambria"/>
        </w:rPr>
        <w:t>rebilanci</w:t>
      </w:r>
      <w:proofErr w:type="spellEnd"/>
      <w:r w:rsidRPr="00787EB4">
        <w:rPr>
          <w:rFonts w:ascii="Cambria" w:hAnsi="Cambria"/>
        </w:rPr>
        <w:t xml:space="preserve"> produktu a podpořit vybudování technologie čištění a vtlačování BNG do plynovodní sítě. Bude nutné stanovit pravidla zápočtu BNG v síti CNG.</w:t>
      </w:r>
    </w:p>
    <w:p w:rsidR="00CA788D" w:rsidRPr="00787EB4" w:rsidRDefault="00036F82" w:rsidP="00D74D4A">
      <w:pPr>
        <w:pStyle w:val="Nadpis3"/>
        <w:numPr>
          <w:ilvl w:val="0"/>
          <w:numId w:val="22"/>
        </w:numPr>
        <w:ind w:hanging="720"/>
      </w:pPr>
      <w:bookmarkStart w:id="29" w:name="_Toc5959541"/>
      <w:r>
        <w:t xml:space="preserve">Téma 3: </w:t>
      </w:r>
      <w:proofErr w:type="spellStart"/>
      <w:r w:rsidR="00CA788D" w:rsidRPr="00787EB4">
        <w:t>BioLPG</w:t>
      </w:r>
      <w:bookmarkEnd w:id="29"/>
      <w:proofErr w:type="spellEnd"/>
    </w:p>
    <w:p w:rsidR="00CA788D" w:rsidRPr="00787EB4" w:rsidRDefault="00CA788D" w:rsidP="001C4AAF">
      <w:pPr>
        <w:spacing w:after="60"/>
        <w:rPr>
          <w:rFonts w:ascii="Cambria" w:hAnsi="Cambria"/>
        </w:rPr>
      </w:pPr>
      <w:proofErr w:type="spellStart"/>
      <w:r w:rsidRPr="00787EB4">
        <w:rPr>
          <w:rFonts w:ascii="Cambria" w:hAnsi="Cambria"/>
        </w:rPr>
        <w:t>BioLPG</w:t>
      </w:r>
      <w:proofErr w:type="spellEnd"/>
      <w:r w:rsidRPr="00787EB4">
        <w:rPr>
          <w:rFonts w:ascii="Cambria" w:hAnsi="Cambria"/>
        </w:rPr>
        <w:t xml:space="preserve"> je chemicky analog LPG</w:t>
      </w:r>
      <w:r w:rsidR="003611B9">
        <w:rPr>
          <w:rFonts w:ascii="Cambria" w:hAnsi="Cambria"/>
        </w:rPr>
        <w:t>,</w:t>
      </w:r>
      <w:r w:rsidRPr="00787EB4">
        <w:rPr>
          <w:rFonts w:ascii="Cambria" w:hAnsi="Cambria"/>
        </w:rPr>
        <w:t xml:space="preserve"> což </w:t>
      </w:r>
      <w:r w:rsidR="003611B9">
        <w:rPr>
          <w:rFonts w:ascii="Cambria" w:hAnsi="Cambria"/>
        </w:rPr>
        <w:t>je</w:t>
      </w:r>
      <w:r w:rsidRPr="00787EB4">
        <w:rPr>
          <w:rFonts w:ascii="Cambria" w:hAnsi="Cambria"/>
        </w:rPr>
        <w:t xml:space="preserve"> zkapalněná směs ropných plynů převážně propanu a butanu. Jeho původ lze odvodit od biomasy. Obvykle se jedná o vedlejší výrobek výrobního procesu produktu, kde je základní surovinou biomasa. Jakostní parametry pro pohon vozidel jsou dané ČSN EN 589. Výhřevnost je 46 MJ/kg a emise 73,6 kg/GJ. V současné době </w:t>
      </w:r>
      <w:proofErr w:type="spellStart"/>
      <w:r w:rsidRPr="00787EB4">
        <w:rPr>
          <w:rFonts w:ascii="Cambria" w:hAnsi="Cambria"/>
        </w:rPr>
        <w:t>bioLPG</w:t>
      </w:r>
      <w:proofErr w:type="spellEnd"/>
      <w:r w:rsidRPr="00787EB4">
        <w:rPr>
          <w:rFonts w:ascii="Cambria" w:hAnsi="Cambria"/>
        </w:rPr>
        <w:t xml:space="preserve"> dodává na trh v Evropě společnost N</w:t>
      </w:r>
      <w:r w:rsidR="001C4AAF">
        <w:rPr>
          <w:rFonts w:ascii="Cambria" w:hAnsi="Cambria"/>
        </w:rPr>
        <w:t>este</w:t>
      </w:r>
      <w:r w:rsidRPr="00787EB4">
        <w:rPr>
          <w:rFonts w:ascii="Cambria" w:hAnsi="Cambria"/>
        </w:rPr>
        <w:t xml:space="preserve"> </w:t>
      </w:r>
      <w:proofErr w:type="spellStart"/>
      <w:r w:rsidRPr="00787EB4">
        <w:rPr>
          <w:rFonts w:ascii="Cambria" w:hAnsi="Cambria"/>
        </w:rPr>
        <w:t>O</w:t>
      </w:r>
      <w:r w:rsidR="001C4AAF">
        <w:rPr>
          <w:rFonts w:ascii="Cambria" w:hAnsi="Cambria"/>
        </w:rPr>
        <w:t>yj</w:t>
      </w:r>
      <w:proofErr w:type="spellEnd"/>
      <w:r w:rsidRPr="00787EB4">
        <w:rPr>
          <w:rFonts w:ascii="Cambria" w:hAnsi="Cambria"/>
        </w:rPr>
        <w:t xml:space="preserve">. LPG je také uváděn na trh jako palivo (palivo a pohonná hmota) fosilního původu odpadající ze zpracování ropy v rafinériích. </w:t>
      </w:r>
    </w:p>
    <w:p w:rsidR="00CA788D" w:rsidRPr="00787EB4" w:rsidRDefault="00CA788D" w:rsidP="001C4AAF">
      <w:pPr>
        <w:spacing w:after="60"/>
        <w:rPr>
          <w:rFonts w:ascii="Cambria" w:hAnsi="Cambria"/>
        </w:rPr>
      </w:pPr>
      <w:proofErr w:type="spellStart"/>
      <w:r w:rsidRPr="00787EB4">
        <w:rPr>
          <w:rFonts w:ascii="Cambria" w:hAnsi="Cambria"/>
        </w:rPr>
        <w:t>BioLPG</w:t>
      </w:r>
      <w:proofErr w:type="spellEnd"/>
      <w:r w:rsidRPr="00787EB4">
        <w:rPr>
          <w:rFonts w:ascii="Cambria" w:hAnsi="Cambria"/>
        </w:rPr>
        <w:t xml:space="preserve"> odpadá a lze jej využít při výrobách vyspělých biopaliv</w:t>
      </w:r>
      <w:r w:rsidR="00676D58">
        <w:rPr>
          <w:rFonts w:ascii="Cambria" w:hAnsi="Cambria"/>
        </w:rPr>
        <w:t>,</w:t>
      </w:r>
      <w:r w:rsidRPr="00787EB4">
        <w:rPr>
          <w:rFonts w:ascii="Cambria" w:hAnsi="Cambria"/>
        </w:rPr>
        <w:t xml:space="preserve"> např. glycerinu a</w:t>
      </w:r>
      <w:r w:rsidR="00B67A3A">
        <w:rPr>
          <w:rFonts w:ascii="Cambria" w:hAnsi="Cambria"/>
        </w:rPr>
        <w:t> </w:t>
      </w:r>
      <w:r w:rsidRPr="00787EB4">
        <w:rPr>
          <w:rFonts w:ascii="Cambria" w:hAnsi="Cambria"/>
        </w:rPr>
        <w:t>HVO.</w:t>
      </w:r>
    </w:p>
    <w:p w:rsidR="00CA788D" w:rsidRPr="00787EB4" w:rsidRDefault="00CA788D" w:rsidP="00D74D4A">
      <w:pPr>
        <w:pStyle w:val="Nadpis4"/>
        <w:numPr>
          <w:ilvl w:val="0"/>
          <w:numId w:val="26"/>
        </w:numPr>
        <w:ind w:hanging="720"/>
      </w:pPr>
      <w:bookmarkStart w:id="30" w:name="_Toc5959542"/>
      <w:r w:rsidRPr="00787EB4">
        <w:t>Zaměření a cíle</w:t>
      </w:r>
      <w:bookmarkEnd w:id="30"/>
    </w:p>
    <w:p w:rsidR="00CA788D" w:rsidRPr="00787EB4" w:rsidRDefault="00CA788D" w:rsidP="00526120">
      <w:pPr>
        <w:spacing w:after="60"/>
        <w:rPr>
          <w:rFonts w:ascii="Cambria" w:hAnsi="Cambria"/>
        </w:rPr>
      </w:pPr>
      <w:proofErr w:type="spellStart"/>
      <w:r w:rsidRPr="00787EB4">
        <w:rPr>
          <w:rFonts w:ascii="Cambria" w:hAnsi="Cambria"/>
        </w:rPr>
        <w:t>BioLPG</w:t>
      </w:r>
      <w:proofErr w:type="spellEnd"/>
      <w:r w:rsidRPr="00787EB4">
        <w:rPr>
          <w:rFonts w:ascii="Cambria" w:hAnsi="Cambria"/>
        </w:rPr>
        <w:t xml:space="preserve"> je legislativou uznaným vyspělým palivem a jeho prostřednictvím </w:t>
      </w:r>
      <w:r w:rsidR="00384DAD" w:rsidRPr="00787EB4">
        <w:rPr>
          <w:rFonts w:ascii="Cambria" w:hAnsi="Cambria"/>
        </w:rPr>
        <w:t xml:space="preserve">lze </w:t>
      </w:r>
      <w:r w:rsidRPr="00787EB4">
        <w:rPr>
          <w:rFonts w:ascii="Cambria" w:hAnsi="Cambria"/>
        </w:rPr>
        <w:t xml:space="preserve">plnit cíle jak v OZE, tak </w:t>
      </w:r>
      <w:r w:rsidR="00384DAD">
        <w:rPr>
          <w:rFonts w:ascii="Cambria" w:hAnsi="Cambria"/>
        </w:rPr>
        <w:t xml:space="preserve">v </w:t>
      </w:r>
      <w:r w:rsidRPr="00787EB4">
        <w:rPr>
          <w:rFonts w:ascii="Cambria" w:hAnsi="Cambria"/>
        </w:rPr>
        <w:t xml:space="preserve">snížení emisí a </w:t>
      </w:r>
      <w:r w:rsidR="00384DAD">
        <w:rPr>
          <w:rFonts w:ascii="Cambria" w:hAnsi="Cambria"/>
        </w:rPr>
        <w:t xml:space="preserve">v </w:t>
      </w:r>
      <w:r w:rsidRPr="00787EB4">
        <w:rPr>
          <w:rFonts w:ascii="Cambria" w:hAnsi="Cambria"/>
        </w:rPr>
        <w:t>předepsané</w:t>
      </w:r>
      <w:r w:rsidR="00384DAD">
        <w:rPr>
          <w:rFonts w:ascii="Cambria" w:hAnsi="Cambria"/>
        </w:rPr>
        <w:t>m</w:t>
      </w:r>
      <w:r w:rsidRPr="00787EB4">
        <w:rPr>
          <w:rFonts w:ascii="Cambria" w:hAnsi="Cambria"/>
        </w:rPr>
        <w:t xml:space="preserve"> nasazení vyspělých biopaliv dle legislativy RED II. Jeho podíl na splnění cílů vzhledem k zdrojům výroby (v ČR se dosud nevyrábí) bude velmi malý nebo žádný. LPG z ropy lze využít k splnění cílů ve snížení emisí. Vzhledem k jeho spotřebě a vlastnostem bude však podíl na plnění RED II malý.</w:t>
      </w:r>
    </w:p>
    <w:p w:rsidR="00CA788D" w:rsidRPr="00787EB4" w:rsidRDefault="00AB35B6" w:rsidP="00D74D4A">
      <w:pPr>
        <w:pStyle w:val="Nadpis4"/>
        <w:numPr>
          <w:ilvl w:val="0"/>
          <w:numId w:val="26"/>
        </w:numPr>
        <w:ind w:hanging="720"/>
      </w:pPr>
      <w:bookmarkStart w:id="31" w:name="_Toc5959543"/>
      <w:r>
        <w:t>S</w:t>
      </w:r>
      <w:r w:rsidR="00CA788D" w:rsidRPr="00787EB4">
        <w:t>tručný popis tématu</w:t>
      </w:r>
      <w:bookmarkEnd w:id="31"/>
    </w:p>
    <w:p w:rsidR="00CA788D" w:rsidRPr="00787EB4" w:rsidRDefault="00CA788D" w:rsidP="00BA7B95">
      <w:pPr>
        <w:spacing w:after="120"/>
        <w:rPr>
          <w:rFonts w:ascii="Cambria" w:hAnsi="Cambria"/>
        </w:rPr>
      </w:pPr>
      <w:r w:rsidRPr="00787EB4">
        <w:rPr>
          <w:rFonts w:ascii="Cambria" w:hAnsi="Cambria"/>
        </w:rPr>
        <w:t xml:space="preserve">Využití </w:t>
      </w:r>
      <w:proofErr w:type="spellStart"/>
      <w:r w:rsidRPr="00787EB4">
        <w:rPr>
          <w:rFonts w:ascii="Cambria" w:hAnsi="Cambria"/>
        </w:rPr>
        <w:t>bioLPG</w:t>
      </w:r>
      <w:proofErr w:type="spellEnd"/>
      <w:r w:rsidRPr="00787EB4">
        <w:rPr>
          <w:rFonts w:ascii="Cambria" w:hAnsi="Cambria"/>
        </w:rPr>
        <w:t xml:space="preserve"> lze předpokládat pouze jako vedlejšího výrobku při výrobě vyspělých biopaliv dříve uvedenými technologiemi.</w:t>
      </w:r>
    </w:p>
    <w:p w:rsidR="00CA788D" w:rsidRPr="00787EB4" w:rsidRDefault="003421A3" w:rsidP="00D74D4A">
      <w:pPr>
        <w:pStyle w:val="Nadpis3"/>
        <w:numPr>
          <w:ilvl w:val="0"/>
          <w:numId w:val="22"/>
        </w:numPr>
        <w:ind w:hanging="720"/>
      </w:pPr>
      <w:bookmarkStart w:id="32" w:name="_Toc5959544"/>
      <w:r>
        <w:t xml:space="preserve">Téma 4: </w:t>
      </w:r>
      <w:r w:rsidR="00CA788D" w:rsidRPr="00787EB4">
        <w:t>Vodík</w:t>
      </w:r>
      <w:bookmarkEnd w:id="32"/>
    </w:p>
    <w:p w:rsidR="00CA788D" w:rsidRPr="00787EB4" w:rsidRDefault="00CA788D" w:rsidP="003838AF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V současné době je vodík možné využívat jako plynné palivo přímo v upraveném  spalovacím motoru nebo jako palivo do vodíkového palivového článku, který pracuje na principu převodu energie z vodíku na elektrickou energii, která pohání vozidlo.</w:t>
      </w:r>
    </w:p>
    <w:p w:rsidR="00CA788D" w:rsidRPr="00787EB4" w:rsidRDefault="00CA788D" w:rsidP="003838AF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 xml:space="preserve">Pohon vodíkem nebo prostřednictvím palivového článku není dosud rozšířen především z důvodu chybějící infrastruktury a ceny vozidla. </w:t>
      </w:r>
    </w:p>
    <w:p w:rsidR="00CA788D" w:rsidRDefault="00CA788D" w:rsidP="003838AF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>Vodík pro pohon má ideální vlastnosti. Při velmi vysoké výhřevnosti cca 119MJ/kg vykazuje  nulové emise skleníkových plynů. Kvalita vodíku pro pohon je dána ČSN</w:t>
      </w:r>
      <w:r w:rsidR="003838AF">
        <w:rPr>
          <w:rFonts w:ascii="Cambria" w:hAnsi="Cambria"/>
        </w:rPr>
        <w:t> </w:t>
      </w:r>
      <w:r w:rsidRPr="00787EB4">
        <w:rPr>
          <w:rFonts w:ascii="Cambria" w:hAnsi="Cambria"/>
        </w:rPr>
        <w:t>P</w:t>
      </w:r>
      <w:r w:rsidR="003838AF">
        <w:rPr>
          <w:rFonts w:ascii="Cambria" w:hAnsi="Cambria"/>
        </w:rPr>
        <w:t> </w:t>
      </w:r>
      <w:r w:rsidRPr="00787EB4">
        <w:rPr>
          <w:rFonts w:ascii="Cambria" w:hAnsi="Cambria"/>
        </w:rPr>
        <w:t>ISO/TS 19880-1 Plynný vodík – Čerpací stanice – část 1: Obecné požadavky</w:t>
      </w:r>
      <w:r w:rsidR="003838AF">
        <w:rPr>
          <w:rFonts w:ascii="Cambria" w:hAnsi="Cambria"/>
        </w:rPr>
        <w:t>.</w:t>
      </w:r>
    </w:p>
    <w:p w:rsidR="00CA788D" w:rsidRPr="00787EB4" w:rsidRDefault="00CA788D" w:rsidP="00D74D4A">
      <w:pPr>
        <w:pStyle w:val="Nadpis4"/>
        <w:numPr>
          <w:ilvl w:val="0"/>
          <w:numId w:val="27"/>
        </w:numPr>
        <w:ind w:hanging="720"/>
      </w:pPr>
      <w:bookmarkStart w:id="33" w:name="_Toc5959545"/>
      <w:r w:rsidRPr="00EF7232">
        <w:t>Zaměření</w:t>
      </w:r>
      <w:r w:rsidRPr="00787EB4">
        <w:t xml:space="preserve"> a cíle</w:t>
      </w:r>
      <w:bookmarkEnd w:id="33"/>
    </w:p>
    <w:p w:rsidR="00CA788D" w:rsidRPr="00787EB4" w:rsidRDefault="00CA788D" w:rsidP="00EF7232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</w:rPr>
        <w:t xml:space="preserve">Vodík je </w:t>
      </w:r>
      <w:r w:rsidR="00EF7232">
        <w:rPr>
          <w:rFonts w:ascii="Cambria" w:hAnsi="Cambria"/>
        </w:rPr>
        <w:t>téměř</w:t>
      </w:r>
      <w:r w:rsidRPr="00787EB4">
        <w:rPr>
          <w:rFonts w:ascii="Cambria" w:hAnsi="Cambria"/>
        </w:rPr>
        <w:t xml:space="preserve"> ideálním palivem či nosičem energie pro splnění cílů RED II</w:t>
      </w:r>
      <w:r w:rsidR="00EF7232">
        <w:rPr>
          <w:rFonts w:ascii="Cambria" w:hAnsi="Cambria"/>
        </w:rPr>
        <w:t>,</w:t>
      </w:r>
      <w:r w:rsidRPr="00787EB4">
        <w:rPr>
          <w:rFonts w:ascii="Cambria" w:hAnsi="Cambria"/>
        </w:rPr>
        <w:t xml:space="preserve"> tj. náhrady fosilních paliv energií z OZE a snížení emisí skleníkových plynů. K jeho většímu užití chybí potřebná infrastruktura plnicích stanic (dnes je </w:t>
      </w:r>
      <w:r w:rsidR="00EF7232">
        <w:rPr>
          <w:rFonts w:ascii="Cambria" w:hAnsi="Cambria"/>
        </w:rPr>
        <w:t xml:space="preserve">na </w:t>
      </w:r>
      <w:r w:rsidRPr="00787EB4">
        <w:rPr>
          <w:rFonts w:ascii="Cambria" w:hAnsi="Cambria"/>
        </w:rPr>
        <w:t xml:space="preserve">území ČR jediná) a velmi malý </w:t>
      </w:r>
      <w:r w:rsidRPr="00787EB4">
        <w:rPr>
          <w:rFonts w:ascii="Cambria" w:hAnsi="Cambria"/>
        </w:rPr>
        <w:lastRenderedPageBreak/>
        <w:t xml:space="preserve">podíl vozidel na vodík v českém autoparku.  Rozšíření podílu vodíkových aut brání jejich cena pro zákazníka. Pro budování infrastruktury </w:t>
      </w:r>
      <w:r w:rsidRPr="00493C83">
        <w:rPr>
          <w:rFonts w:ascii="Cambria" w:hAnsi="Cambria"/>
        </w:rPr>
        <w:t xml:space="preserve">platí </w:t>
      </w:r>
      <w:r w:rsidR="00493C83" w:rsidRPr="00493C83">
        <w:rPr>
          <w:rFonts w:ascii="Cambria" w:hAnsi="Cambria"/>
        </w:rPr>
        <w:t>s</w:t>
      </w:r>
      <w:r w:rsidRPr="00493C83">
        <w:rPr>
          <w:rFonts w:ascii="Cambria" w:hAnsi="Cambria"/>
          <w:szCs w:val="24"/>
        </w:rPr>
        <w:t>měrnice Evropského</w:t>
      </w:r>
      <w:r w:rsidRPr="00787EB4">
        <w:rPr>
          <w:rFonts w:ascii="Cambria" w:hAnsi="Cambria"/>
          <w:szCs w:val="24"/>
        </w:rPr>
        <w:t xml:space="preserve"> parlamentu a Rady 2014/94/EU ze dne 22. 10. 2014 o zavádění infrastruktury pro alternativní paliva</w:t>
      </w:r>
      <w:r w:rsidR="00EF7232">
        <w:rPr>
          <w:rFonts w:ascii="Cambria" w:hAnsi="Cambria"/>
          <w:szCs w:val="24"/>
        </w:rPr>
        <w:t>.</w:t>
      </w:r>
    </w:p>
    <w:p w:rsidR="00CA788D" w:rsidRPr="00787EB4" w:rsidRDefault="00CA788D" w:rsidP="00D74D4A">
      <w:pPr>
        <w:pStyle w:val="Nadpis4"/>
        <w:numPr>
          <w:ilvl w:val="0"/>
          <w:numId w:val="27"/>
        </w:numPr>
        <w:ind w:hanging="720"/>
      </w:pPr>
      <w:bookmarkStart w:id="34" w:name="_Toc5959546"/>
      <w:r w:rsidRPr="00787EB4">
        <w:t>Stručný popis tématu</w:t>
      </w:r>
      <w:bookmarkEnd w:id="34"/>
    </w:p>
    <w:p w:rsidR="00CA788D" w:rsidRPr="00787EB4" w:rsidRDefault="00CA788D" w:rsidP="006806DB">
      <w:pPr>
        <w:spacing w:after="60"/>
        <w:rPr>
          <w:rFonts w:ascii="Cambria" w:hAnsi="Cambria"/>
        </w:rPr>
      </w:pPr>
      <w:r w:rsidRPr="00787EB4">
        <w:rPr>
          <w:rFonts w:ascii="Cambria" w:hAnsi="Cambria"/>
        </w:rPr>
        <w:t xml:space="preserve">Zdrojem vodíku pro dopravu je </w:t>
      </w:r>
      <w:r w:rsidR="00C261B0" w:rsidRPr="00787EB4">
        <w:rPr>
          <w:rFonts w:ascii="Cambria" w:hAnsi="Cambria"/>
        </w:rPr>
        <w:t xml:space="preserve">dnes </w:t>
      </w:r>
      <w:r w:rsidRPr="00787EB4">
        <w:rPr>
          <w:rFonts w:ascii="Cambria" w:hAnsi="Cambria"/>
        </w:rPr>
        <w:t xml:space="preserve">chemická a petrochemická výroba. Kvalita vodíku z těchto zdrojů však vyžaduje </w:t>
      </w:r>
      <w:r w:rsidR="00C261B0">
        <w:rPr>
          <w:rFonts w:ascii="Cambria" w:hAnsi="Cambria"/>
        </w:rPr>
        <w:t>j</w:t>
      </w:r>
      <w:r w:rsidRPr="00787EB4">
        <w:rPr>
          <w:rFonts w:ascii="Cambria" w:hAnsi="Cambria"/>
        </w:rPr>
        <w:t>eho vyčištění. Pro masovou výrobu přichází v úvahu elektrolýza vody, vysokoteplotní elektrolýza a termochemické cykly štěpení vody a</w:t>
      </w:r>
      <w:r w:rsidR="00C261B0">
        <w:rPr>
          <w:rFonts w:ascii="Cambria" w:hAnsi="Cambria"/>
        </w:rPr>
        <w:t> </w:t>
      </w:r>
      <w:r w:rsidRPr="00787EB4">
        <w:rPr>
          <w:rFonts w:ascii="Cambria" w:hAnsi="Cambria"/>
        </w:rPr>
        <w:t xml:space="preserve">biotechnologická produkce vodíku z vody prostřednictvím mikroorganizmů a enzymů. Realizace těchto technologií je však investičně náročná. </w:t>
      </w:r>
    </w:p>
    <w:p w:rsidR="00CA788D" w:rsidRPr="00787EB4" w:rsidRDefault="00CA788D" w:rsidP="006806DB">
      <w:pPr>
        <w:spacing w:after="120"/>
        <w:rPr>
          <w:rFonts w:ascii="Cambria" w:hAnsi="Cambria"/>
        </w:rPr>
      </w:pPr>
      <w:r w:rsidRPr="00787EB4">
        <w:rPr>
          <w:rFonts w:ascii="Cambria" w:hAnsi="Cambria"/>
        </w:rPr>
        <w:t xml:space="preserve">V dnešních podmínkách je prioritou vybudování dostatečné infrastruktury plnicích stanic. </w:t>
      </w:r>
    </w:p>
    <w:p w:rsidR="00CA788D" w:rsidRPr="006806DB" w:rsidRDefault="00CA788D" w:rsidP="00D74D4A">
      <w:pPr>
        <w:pStyle w:val="Nadpis3"/>
        <w:numPr>
          <w:ilvl w:val="0"/>
          <w:numId w:val="22"/>
        </w:numPr>
        <w:ind w:hanging="720"/>
      </w:pPr>
      <w:bookmarkStart w:id="35" w:name="_Toc5959547"/>
      <w:r w:rsidRPr="006806DB">
        <w:t>Dílčí závěr a doporučení</w:t>
      </w:r>
      <w:bookmarkEnd w:id="35"/>
    </w:p>
    <w:p w:rsidR="00CA788D" w:rsidRPr="00787EB4" w:rsidRDefault="00CA788D" w:rsidP="006210AC">
      <w:pPr>
        <w:spacing w:after="40"/>
        <w:rPr>
          <w:rFonts w:ascii="Cambria" w:hAnsi="Cambria"/>
        </w:rPr>
      </w:pPr>
      <w:r w:rsidRPr="00787EB4">
        <w:rPr>
          <w:rFonts w:ascii="Cambria" w:hAnsi="Cambria"/>
        </w:rPr>
        <w:t>V současné době lze v ČR doporučit pro plnění cílů RED II v letech 2021 až 2030:</w:t>
      </w:r>
    </w:p>
    <w:p w:rsidR="00CA788D" w:rsidRPr="00787EB4" w:rsidRDefault="00991997" w:rsidP="00D74D4A">
      <w:pPr>
        <w:pStyle w:val="Odstavecseseznamem"/>
        <w:widowControl/>
        <w:numPr>
          <w:ilvl w:val="0"/>
          <w:numId w:val="17"/>
        </w:numPr>
        <w:tabs>
          <w:tab w:val="left" w:pos="284"/>
        </w:tabs>
        <w:ind w:left="284" w:hanging="284"/>
        <w:contextualSpacing w:val="0"/>
        <w:rPr>
          <w:rFonts w:ascii="Cambria" w:hAnsi="Cambria"/>
        </w:rPr>
      </w:pPr>
      <w:r>
        <w:rPr>
          <w:rFonts w:ascii="Cambria" w:hAnsi="Cambria"/>
        </w:rPr>
        <w:t>R</w:t>
      </w:r>
      <w:r w:rsidR="00CA788D" w:rsidRPr="00787EB4">
        <w:rPr>
          <w:rFonts w:ascii="Cambria" w:hAnsi="Cambria"/>
        </w:rPr>
        <w:t>ealizovat komerční výrobu HVO co-</w:t>
      </w:r>
      <w:proofErr w:type="spellStart"/>
      <w:r w:rsidR="00CA788D" w:rsidRPr="00787EB4">
        <w:rPr>
          <w:rFonts w:ascii="Cambria" w:hAnsi="Cambria"/>
        </w:rPr>
        <w:t>processingovou</w:t>
      </w:r>
      <w:proofErr w:type="spellEnd"/>
      <w:r w:rsidR="00CA788D" w:rsidRPr="00787EB4">
        <w:rPr>
          <w:rFonts w:ascii="Cambria" w:hAnsi="Cambria"/>
        </w:rPr>
        <w:t xml:space="preserve"> technologií a jeho mísení do motorové nafty. Technologie jsou k dispozici. Jako zásadní bude nutné na státní úrovni řešit surovinovou základnu</w:t>
      </w:r>
      <w:r>
        <w:rPr>
          <w:rFonts w:ascii="Cambria" w:hAnsi="Cambria"/>
        </w:rPr>
        <w:t>.</w:t>
      </w:r>
    </w:p>
    <w:p w:rsidR="00CA788D" w:rsidRPr="00787EB4" w:rsidRDefault="00991997" w:rsidP="00D74D4A">
      <w:pPr>
        <w:pStyle w:val="Odstavecseseznamem"/>
        <w:widowControl/>
        <w:numPr>
          <w:ilvl w:val="0"/>
          <w:numId w:val="17"/>
        </w:numPr>
        <w:tabs>
          <w:tab w:val="left" w:pos="284"/>
        </w:tabs>
        <w:ind w:left="284" w:hanging="284"/>
        <w:contextualSpacing w:val="0"/>
        <w:rPr>
          <w:rFonts w:ascii="Cambria" w:hAnsi="Cambria"/>
        </w:rPr>
      </w:pPr>
      <w:r>
        <w:rPr>
          <w:rFonts w:ascii="Cambria" w:hAnsi="Cambria"/>
        </w:rPr>
        <w:t>Z</w:t>
      </w:r>
      <w:r w:rsidR="00CA788D" w:rsidRPr="00787EB4">
        <w:rPr>
          <w:rFonts w:ascii="Cambria" w:hAnsi="Cambria"/>
        </w:rPr>
        <w:t xml:space="preserve">ajistit rekonstrukci stávající výroby bioplynu na kvalitu biometanu zavedením technologie čištění na kvalitu dle ČSN 65 6514 a vtlačování do sítě standardního zemního plynu, Jako zásadní bude nutné dohodnout </w:t>
      </w:r>
      <w:proofErr w:type="spellStart"/>
      <w:r w:rsidR="00CA788D" w:rsidRPr="00787EB4">
        <w:rPr>
          <w:rFonts w:ascii="Cambria" w:hAnsi="Cambria"/>
        </w:rPr>
        <w:t>rebilanci</w:t>
      </w:r>
      <w:proofErr w:type="spellEnd"/>
      <w:r w:rsidR="00CA788D" w:rsidRPr="00787EB4">
        <w:rPr>
          <w:rFonts w:ascii="Cambria" w:hAnsi="Cambria"/>
        </w:rPr>
        <w:t xml:space="preserve"> vyrobeného bioplynu se zemědělským sektorem, realizaci technologie čištění na kvalitu pro dopravu a</w:t>
      </w:r>
      <w:r>
        <w:rPr>
          <w:rFonts w:ascii="Cambria" w:hAnsi="Cambria"/>
        </w:rPr>
        <w:t> </w:t>
      </w:r>
      <w:r w:rsidR="00CA788D" w:rsidRPr="00787EB4">
        <w:rPr>
          <w:rFonts w:ascii="Cambria" w:hAnsi="Cambria"/>
        </w:rPr>
        <w:t>technologii vtlačování do středotlakého rozvodu zemního plynu</w:t>
      </w:r>
      <w:r w:rsidR="006569CF">
        <w:rPr>
          <w:rFonts w:ascii="Cambria" w:hAnsi="Cambria"/>
        </w:rPr>
        <w:t>.</w:t>
      </w:r>
    </w:p>
    <w:p w:rsidR="00CA788D" w:rsidRPr="00787EB4" w:rsidRDefault="006569CF" w:rsidP="00D74D4A">
      <w:pPr>
        <w:pStyle w:val="Odstavecseseznamem"/>
        <w:widowControl/>
        <w:numPr>
          <w:ilvl w:val="0"/>
          <w:numId w:val="17"/>
        </w:numPr>
        <w:tabs>
          <w:tab w:val="left" w:pos="284"/>
        </w:tabs>
        <w:ind w:left="284" w:hanging="284"/>
        <w:contextualSpacing w:val="0"/>
        <w:rPr>
          <w:rFonts w:ascii="Cambria" w:hAnsi="Cambria"/>
        </w:rPr>
      </w:pPr>
      <w:r>
        <w:rPr>
          <w:rFonts w:ascii="Cambria" w:hAnsi="Cambria"/>
        </w:rPr>
        <w:t>Z</w:t>
      </w:r>
      <w:r w:rsidR="00CA788D" w:rsidRPr="00787EB4">
        <w:rPr>
          <w:rFonts w:ascii="Cambria" w:hAnsi="Cambria"/>
        </w:rPr>
        <w:t xml:space="preserve">ajistit dodávku vodíku pro pohon či palivové články do nově vybudované infrastrukturní sítě. </w:t>
      </w:r>
    </w:p>
    <w:p w:rsidR="00CA788D" w:rsidRPr="00787EB4" w:rsidRDefault="00CA788D" w:rsidP="00125D5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Doporučení </w:t>
      </w:r>
      <w:r w:rsidR="006569CF">
        <w:rPr>
          <w:rFonts w:ascii="Cambria" w:hAnsi="Cambria"/>
          <w:szCs w:val="24"/>
        </w:rPr>
        <w:t xml:space="preserve">v písm. </w:t>
      </w:r>
      <w:r w:rsidRPr="00787EB4">
        <w:rPr>
          <w:rFonts w:ascii="Cambria" w:hAnsi="Cambria"/>
          <w:szCs w:val="24"/>
        </w:rPr>
        <w:t>a) nevyžaduje podporu obměny autoparku. Naopak doporučení</w:t>
      </w:r>
      <w:r w:rsidR="006569CF">
        <w:rPr>
          <w:rFonts w:ascii="Cambria" w:hAnsi="Cambria"/>
          <w:szCs w:val="24"/>
        </w:rPr>
        <w:t xml:space="preserve"> v písm.</w:t>
      </w:r>
      <w:r w:rsidRPr="00787EB4">
        <w:rPr>
          <w:rFonts w:ascii="Cambria" w:hAnsi="Cambria"/>
          <w:szCs w:val="24"/>
        </w:rPr>
        <w:t xml:space="preserve"> b) a</w:t>
      </w:r>
      <w:r w:rsidR="006569CF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c) velmi silnou obměnu autoparku, která musí být podpořena státem, což v případě elektromobilů premiér odmítá. </w:t>
      </w:r>
    </w:p>
    <w:p w:rsidR="00CA788D" w:rsidRPr="00787EB4" w:rsidRDefault="00CA788D" w:rsidP="00037447">
      <w:pPr>
        <w:pStyle w:val="Odstavecseseznamem"/>
        <w:widowControl/>
        <w:tabs>
          <w:tab w:val="left" w:pos="284"/>
        </w:tabs>
        <w:spacing w:after="12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V budoucnosti bude třeba dořešit výrobu vodíku na bázi bez emisních technologií</w:t>
      </w:r>
      <w:r w:rsidR="00037447">
        <w:rPr>
          <w:rFonts w:ascii="Cambria" w:hAnsi="Cambria"/>
          <w:szCs w:val="24"/>
        </w:rPr>
        <w:t xml:space="preserve">, </w:t>
      </w:r>
      <w:r w:rsidRPr="00787EB4">
        <w:rPr>
          <w:rFonts w:ascii="Cambria" w:hAnsi="Cambria"/>
          <w:szCs w:val="24"/>
        </w:rPr>
        <w:t>např.</w:t>
      </w:r>
      <w:r w:rsidR="00037447">
        <w:rPr>
          <w:rFonts w:ascii="Cambria" w:hAnsi="Cambria"/>
          <w:szCs w:val="24"/>
        </w:rPr>
        <w:t xml:space="preserve"> e</w:t>
      </w:r>
      <w:r w:rsidRPr="00787EB4">
        <w:rPr>
          <w:rFonts w:ascii="Cambria" w:hAnsi="Cambria"/>
          <w:szCs w:val="24"/>
        </w:rPr>
        <w:t>lektrolýzou vody na bázi sluneční nebo větrné energie.</w:t>
      </w:r>
    </w:p>
    <w:p w:rsidR="00CA788D" w:rsidRPr="00787EB4" w:rsidRDefault="00CA788D" w:rsidP="00D74D4A">
      <w:pPr>
        <w:pStyle w:val="Nadpis2"/>
        <w:numPr>
          <w:ilvl w:val="0"/>
          <w:numId w:val="19"/>
        </w:numPr>
        <w:ind w:left="567" w:hanging="567"/>
        <w:rPr>
          <w:bCs/>
        </w:rPr>
      </w:pPr>
      <w:bookmarkStart w:id="36" w:name="_Toc526861144"/>
      <w:bookmarkStart w:id="37" w:name="_Toc5881016"/>
      <w:bookmarkStart w:id="38" w:name="_Toc5959548"/>
      <w:r w:rsidRPr="00787EB4">
        <w:t>Závěr</w:t>
      </w:r>
      <w:bookmarkEnd w:id="36"/>
      <w:r w:rsidRPr="00787EB4">
        <w:t xml:space="preserve"> </w:t>
      </w:r>
      <w:r w:rsidR="001A6C26">
        <w:t>kapitoly</w:t>
      </w:r>
      <w:bookmarkEnd w:id="37"/>
      <w:bookmarkEnd w:id="38"/>
    </w:p>
    <w:p w:rsidR="00CA788D" w:rsidRPr="00787EB4" w:rsidRDefault="00CA788D" w:rsidP="003265E4">
      <w:pPr>
        <w:spacing w:after="60"/>
        <w:rPr>
          <w:rFonts w:ascii="Cambria" w:hAnsi="Cambria"/>
          <w:lang w:eastAsia="fr-FR"/>
        </w:rPr>
      </w:pPr>
      <w:r w:rsidRPr="00787EB4">
        <w:rPr>
          <w:rFonts w:ascii="Cambria" w:hAnsi="Cambria"/>
          <w:lang w:eastAsia="fr-FR"/>
        </w:rPr>
        <w:t>S ohledem na současný vývoj plnění cílů RED I k roku 2020 lze předpokládat, že nebude splněna náhrada fosilní energie energií z OZE (cíl je určen pro členskou zemi) a snížení emisí o</w:t>
      </w:r>
      <w:r w:rsidR="003265E4">
        <w:rPr>
          <w:rFonts w:ascii="Cambria" w:hAnsi="Cambria"/>
          <w:lang w:eastAsia="fr-FR"/>
        </w:rPr>
        <w:t> </w:t>
      </w:r>
      <w:r w:rsidRPr="00787EB4">
        <w:rPr>
          <w:rFonts w:ascii="Cambria" w:hAnsi="Cambria"/>
          <w:lang w:eastAsia="fr-FR"/>
        </w:rPr>
        <w:t>6</w:t>
      </w:r>
      <w:r w:rsidR="003265E4">
        <w:rPr>
          <w:rFonts w:ascii="Cambria" w:hAnsi="Cambria"/>
          <w:lang w:eastAsia="fr-FR"/>
        </w:rPr>
        <w:t> </w:t>
      </w:r>
      <w:r w:rsidRPr="00787EB4">
        <w:rPr>
          <w:rFonts w:ascii="Cambria" w:hAnsi="Cambria"/>
          <w:lang w:eastAsia="fr-FR"/>
        </w:rPr>
        <w:t>% oproti základu 94,1</w:t>
      </w:r>
      <w:r w:rsidR="003265E4">
        <w:rPr>
          <w:rFonts w:ascii="Cambria" w:hAnsi="Cambria"/>
          <w:lang w:eastAsia="fr-FR"/>
        </w:rPr>
        <w:t> </w:t>
      </w:r>
      <w:r w:rsidRPr="00787EB4">
        <w:rPr>
          <w:rFonts w:ascii="Cambria" w:hAnsi="Cambria"/>
          <w:lang w:eastAsia="fr-FR"/>
        </w:rPr>
        <w:t>g CO2/MJ. Povinné osoby (dodavatelé benzinu a</w:t>
      </w:r>
      <w:r w:rsidR="003265E4">
        <w:rPr>
          <w:rFonts w:ascii="Cambria" w:hAnsi="Cambria"/>
          <w:lang w:eastAsia="fr-FR"/>
        </w:rPr>
        <w:t> </w:t>
      </w:r>
      <w:r w:rsidRPr="00787EB4">
        <w:rPr>
          <w:rFonts w:ascii="Cambria" w:hAnsi="Cambria"/>
          <w:lang w:eastAsia="fr-FR"/>
        </w:rPr>
        <w:t>motorové nafty</w:t>
      </w:r>
      <w:r w:rsidR="005A58E0">
        <w:rPr>
          <w:rFonts w:ascii="Cambria" w:hAnsi="Cambria"/>
          <w:lang w:eastAsia="fr-FR"/>
        </w:rPr>
        <w:t>)</w:t>
      </w:r>
      <w:r w:rsidRPr="00787EB4">
        <w:rPr>
          <w:rFonts w:ascii="Cambria" w:hAnsi="Cambria"/>
          <w:lang w:eastAsia="fr-FR"/>
        </w:rPr>
        <w:t xml:space="preserve"> splní objemovou povinnost užití</w:t>
      </w:r>
      <w:r w:rsidR="003265E4">
        <w:rPr>
          <w:rFonts w:ascii="Cambria" w:hAnsi="Cambria"/>
          <w:lang w:eastAsia="fr-FR"/>
        </w:rPr>
        <w:t>m</w:t>
      </w:r>
      <w:r w:rsidRPr="00787EB4">
        <w:rPr>
          <w:rFonts w:ascii="Cambria" w:hAnsi="Cambria"/>
          <w:lang w:eastAsia="fr-FR"/>
        </w:rPr>
        <w:t xml:space="preserve"> biopaliv </w:t>
      </w:r>
      <w:r w:rsidR="003265E4">
        <w:rPr>
          <w:rFonts w:ascii="Cambria" w:hAnsi="Cambria"/>
          <w:lang w:eastAsia="fr-FR"/>
        </w:rPr>
        <w:t>1</w:t>
      </w:r>
      <w:r w:rsidRPr="00787EB4">
        <w:rPr>
          <w:rFonts w:ascii="Cambria" w:hAnsi="Cambria"/>
          <w:lang w:eastAsia="fr-FR"/>
        </w:rPr>
        <w:t xml:space="preserve">. generace ve smyslu zákona </w:t>
      </w:r>
      <w:r w:rsidR="003265E4">
        <w:rPr>
          <w:rFonts w:ascii="Cambria" w:hAnsi="Cambria"/>
          <w:lang w:eastAsia="fr-FR"/>
        </w:rPr>
        <w:t xml:space="preserve">o </w:t>
      </w:r>
      <w:r w:rsidRPr="00787EB4">
        <w:rPr>
          <w:rFonts w:ascii="Cambria" w:hAnsi="Cambria"/>
          <w:lang w:eastAsia="fr-FR"/>
        </w:rPr>
        <w:t xml:space="preserve">ochraně ovzduší. Povinné osoby budou za nesplnění snížení </w:t>
      </w:r>
      <w:proofErr w:type="gramStart"/>
      <w:r w:rsidRPr="00787EB4">
        <w:rPr>
          <w:rFonts w:ascii="Cambria" w:hAnsi="Cambria"/>
          <w:lang w:eastAsia="fr-FR"/>
        </w:rPr>
        <w:t>emisí  penalizovány</w:t>
      </w:r>
      <w:proofErr w:type="gramEnd"/>
      <w:r w:rsidRPr="00787EB4">
        <w:rPr>
          <w:rFonts w:ascii="Cambria" w:hAnsi="Cambria"/>
          <w:lang w:eastAsia="fr-FR"/>
        </w:rPr>
        <w:t xml:space="preserve"> nesmyslně vysokou pokutou ve výši 10 Kč za každý nesplněn</w:t>
      </w:r>
      <w:r w:rsidR="0038218D">
        <w:rPr>
          <w:rFonts w:ascii="Cambria" w:hAnsi="Cambria"/>
          <w:lang w:eastAsia="fr-FR"/>
        </w:rPr>
        <w:t>ý</w:t>
      </w:r>
      <w:r w:rsidRPr="00787EB4">
        <w:rPr>
          <w:rFonts w:ascii="Cambria" w:hAnsi="Cambria"/>
          <w:lang w:eastAsia="fr-FR"/>
        </w:rPr>
        <w:t xml:space="preserve"> kg CO2. </w:t>
      </w:r>
    </w:p>
    <w:p w:rsidR="00CA788D" w:rsidRPr="00787EB4" w:rsidRDefault="00CA788D" w:rsidP="001526EE">
      <w:pPr>
        <w:widowControl/>
        <w:spacing w:after="4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Pro splnění cílů legislativy RED II bude proto nutné:</w:t>
      </w:r>
    </w:p>
    <w:p w:rsidR="00CA788D" w:rsidRPr="00787EB4" w:rsidRDefault="00CA788D" w:rsidP="0045008B">
      <w:pPr>
        <w:widowControl/>
        <w:numPr>
          <w:ilvl w:val="4"/>
          <w:numId w:val="1"/>
        </w:numPr>
        <w:tabs>
          <w:tab w:val="left" w:pos="357"/>
        </w:tabs>
        <w:ind w:left="357" w:hanging="357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aby transpozice schválené legislativy k RED II proběhla včas a dohodnutá dikce byla konzistentním názorem státu, zemědělského sektoru, výrobců biopaliv, výrobců a distributorů pohonných hmot pro dopravu a automobilového průmyslu. Vzhledem ke kompetencím ve státní správě by mohla být legislativa k RED II transponována prostřednictvím novely zákona o podpoře obnovitelných zdrojů a příslušného legislativního předpisu. Schválen by měl být nejpozději do 30. 6. 2021</w:t>
      </w:r>
      <w:r w:rsidR="00966D70">
        <w:rPr>
          <w:rFonts w:ascii="Cambria" w:hAnsi="Cambria"/>
          <w:szCs w:val="24"/>
        </w:rPr>
        <w:t>;</w:t>
      </w:r>
    </w:p>
    <w:p w:rsidR="00CA788D" w:rsidRPr="00787EB4" w:rsidRDefault="00CA788D" w:rsidP="0045008B">
      <w:pPr>
        <w:widowControl/>
        <w:numPr>
          <w:ilvl w:val="4"/>
          <w:numId w:val="1"/>
        </w:numPr>
        <w:tabs>
          <w:tab w:val="left" w:pos="357"/>
        </w:tabs>
        <w:ind w:left="357" w:hanging="357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lastRenderedPageBreak/>
        <w:t>aby byly cíle RED II byly proporcionálně rozděleny na všechny dodavatele energie pro dopravu a ve stejném poměru byl stanovena podpora</w:t>
      </w:r>
      <w:r w:rsidR="00966D70">
        <w:rPr>
          <w:rFonts w:ascii="Cambria" w:hAnsi="Cambria"/>
          <w:szCs w:val="24"/>
        </w:rPr>
        <w:t>;</w:t>
      </w:r>
    </w:p>
    <w:p w:rsidR="00CA788D" w:rsidRPr="00787EB4" w:rsidRDefault="00CA788D" w:rsidP="0045008B">
      <w:pPr>
        <w:widowControl/>
        <w:numPr>
          <w:ilvl w:val="4"/>
          <w:numId w:val="1"/>
        </w:numPr>
        <w:tabs>
          <w:tab w:val="left" w:pos="357"/>
        </w:tabs>
        <w:ind w:left="357" w:hanging="357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aby existovala smysluplná ekonomická podpora vedoucí k obnově autoparku vozidel a investiční podpora nových technologií pro výrobu vyspělých biopaliv HVO a BNG</w:t>
      </w:r>
      <w:r w:rsidR="00966D70">
        <w:rPr>
          <w:rFonts w:ascii="Cambria" w:hAnsi="Cambria"/>
          <w:szCs w:val="24"/>
        </w:rPr>
        <w:t>;</w:t>
      </w:r>
    </w:p>
    <w:p w:rsidR="00CA788D" w:rsidRPr="00787EB4" w:rsidRDefault="00966D70" w:rsidP="00966D70">
      <w:pPr>
        <w:widowControl/>
        <w:numPr>
          <w:ilvl w:val="4"/>
          <w:numId w:val="1"/>
        </w:numPr>
        <w:tabs>
          <w:tab w:val="left" w:pos="357"/>
        </w:tabs>
        <w:ind w:left="357" w:hanging="35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aby </w:t>
      </w:r>
      <w:r w:rsidR="00CA788D" w:rsidRPr="00787EB4">
        <w:rPr>
          <w:rFonts w:ascii="Cambria" w:hAnsi="Cambria"/>
          <w:szCs w:val="24"/>
        </w:rPr>
        <w:t>byl připraven program informací (sortiment a kvalita) o zařazení nových paliv na trh a včas a pravdivě informována společnost</w:t>
      </w:r>
      <w:r>
        <w:rPr>
          <w:rFonts w:ascii="Cambria" w:hAnsi="Cambria"/>
          <w:szCs w:val="24"/>
        </w:rPr>
        <w:t>;</w:t>
      </w:r>
    </w:p>
    <w:p w:rsidR="00CA788D" w:rsidRPr="00787EB4" w:rsidRDefault="00966D70" w:rsidP="00966D70">
      <w:pPr>
        <w:widowControl/>
        <w:numPr>
          <w:ilvl w:val="4"/>
          <w:numId w:val="1"/>
        </w:numPr>
        <w:tabs>
          <w:tab w:val="left" w:pos="357"/>
        </w:tabs>
        <w:ind w:left="357" w:hanging="35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aby</w:t>
      </w:r>
      <w:r w:rsidR="00CA788D" w:rsidRPr="00787EB4">
        <w:rPr>
          <w:rFonts w:ascii="Cambria" w:hAnsi="Cambria"/>
          <w:szCs w:val="24"/>
        </w:rPr>
        <w:t xml:space="preserve"> z úrovně státních orgánů byla vybilancována surovinová základna pro výrobu vyspělých</w:t>
      </w:r>
      <w:r>
        <w:rPr>
          <w:rFonts w:ascii="Cambria" w:hAnsi="Cambria"/>
          <w:szCs w:val="24"/>
        </w:rPr>
        <w:t xml:space="preserve"> </w:t>
      </w:r>
      <w:r w:rsidR="00CA788D" w:rsidRPr="00787EB4">
        <w:rPr>
          <w:rFonts w:ascii="Cambria" w:hAnsi="Cambria"/>
          <w:szCs w:val="24"/>
        </w:rPr>
        <w:t>biopaliv a dodávky BNG pro dopravu</w:t>
      </w:r>
      <w:r>
        <w:rPr>
          <w:rFonts w:ascii="Cambria" w:hAnsi="Cambria"/>
          <w:szCs w:val="24"/>
        </w:rPr>
        <w:t>;</w:t>
      </w:r>
    </w:p>
    <w:p w:rsidR="00CA788D" w:rsidRPr="00787EB4" w:rsidRDefault="00966D70" w:rsidP="00966D70">
      <w:pPr>
        <w:widowControl/>
        <w:numPr>
          <w:ilvl w:val="4"/>
          <w:numId w:val="1"/>
        </w:numPr>
        <w:tabs>
          <w:tab w:val="left" w:pos="357"/>
        </w:tabs>
        <w:spacing w:after="60"/>
        <w:ind w:left="357" w:hanging="35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aby </w:t>
      </w:r>
      <w:r w:rsidR="00CA788D" w:rsidRPr="00787EB4">
        <w:rPr>
          <w:rFonts w:ascii="Cambria" w:hAnsi="Cambria"/>
          <w:szCs w:val="24"/>
        </w:rPr>
        <w:t>byl vypracován politicko</w:t>
      </w:r>
      <w:r>
        <w:rPr>
          <w:rFonts w:ascii="Cambria" w:hAnsi="Cambria"/>
          <w:szCs w:val="24"/>
        </w:rPr>
        <w:t>-</w:t>
      </w:r>
      <w:r w:rsidR="00CA788D" w:rsidRPr="00787EB4">
        <w:rPr>
          <w:rFonts w:ascii="Cambria" w:hAnsi="Cambria"/>
          <w:szCs w:val="24"/>
        </w:rPr>
        <w:t xml:space="preserve">sociální program podpory RED II ze strany společnosti. </w:t>
      </w:r>
    </w:p>
    <w:p w:rsidR="00CA788D" w:rsidRPr="00787EB4" w:rsidRDefault="00CA788D" w:rsidP="00966D70">
      <w:pPr>
        <w:widowControl/>
        <w:spacing w:after="6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I když lze velmi dobře předpokládat, že fosilní paliva pro silniční dopravu na bázi ropy budou dominovat na trhu ještě v letech 2035 až 2040, je nejvyšší čas, aby se společnost a</w:t>
      </w:r>
      <w:r w:rsidR="00025C84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průmysl adaptovaly na významné změny představované přechodem na jiný typ energií pro dopravu. Bude to znamenat jak změny technické, tak i změny sociální politiky.</w:t>
      </w:r>
    </w:p>
    <w:p w:rsidR="00CA788D" w:rsidRPr="00787EB4" w:rsidRDefault="00CA788D" w:rsidP="00966D70">
      <w:pPr>
        <w:widowControl/>
        <w:spacing w:after="6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Přechod na jiný zdroj energie v dopravě je systémovou změnou a bude znamenat i</w:t>
      </w:r>
      <w:r w:rsidR="00025C84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změnu myšlení a orientace motoristů. Realizace bude možná jen za jejich porozumění.</w:t>
      </w:r>
    </w:p>
    <w:p w:rsidR="00CA788D" w:rsidRPr="00787EB4" w:rsidRDefault="00CA788D" w:rsidP="00966D70">
      <w:pPr>
        <w:widowControl/>
        <w:spacing w:after="6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Přechod na jiný typ energie pro dopravu bude dlouhodobý a bude znamenat i obrovské investiční a jiné náklady na realizaci. S ohledem na otevřenost zemí v Evropě musí celý proces změny probíhat koordinovaně, v dostatečném časovém rozmezí a s využitím dostupných vědeckých výsledků.</w:t>
      </w:r>
    </w:p>
    <w:p w:rsidR="00CA788D" w:rsidRPr="00787EB4" w:rsidRDefault="00CA788D" w:rsidP="00966D70">
      <w:pPr>
        <w:widowControl/>
        <w:spacing w:after="6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Vývoj alternativ se musí odvíjet od specifických podmínek jednotlivých zemí, zejména s ohledem na zdroje a technickou úroveň. Zvolené technologie musí být komplexně analyzovány a nesmí podlehnout politickým tlakům.</w:t>
      </w:r>
    </w:p>
    <w:p w:rsidR="00CA788D" w:rsidRPr="00787EB4" w:rsidRDefault="00CA788D" w:rsidP="00EA273B">
      <w:pPr>
        <w:widowControl/>
        <w:spacing w:after="6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Společnost nemusí mít ani v dalekém horizontu sta let obavu z nedostatku energie. Už</w:t>
      </w:r>
      <w:r w:rsidR="00FC24D7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dnes jsou výzkumně ověřeny technologie výroby paliv a chemikálií na bázi CO2 a</w:t>
      </w:r>
      <w:r w:rsidR="00FC24D7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vodíku z elektrolýzy a vodíkových vyvíječů pro vozidla</w:t>
      </w:r>
      <w:r w:rsidR="0089223D">
        <w:rPr>
          <w:rFonts w:ascii="Cambria" w:hAnsi="Cambria"/>
          <w:szCs w:val="24"/>
        </w:rPr>
        <w:t>,</w:t>
      </w:r>
      <w:r w:rsidRPr="00787EB4">
        <w:rPr>
          <w:rFonts w:ascii="Cambria" w:hAnsi="Cambria"/>
          <w:szCs w:val="24"/>
        </w:rPr>
        <w:t xml:space="preserve"> kde palivem je voda. Vodíkové vyvíječe pracují na principu vysokofrekvenční rezonance nebo v ultrazvukové elektrolýze </w:t>
      </w:r>
      <w:r w:rsidR="00C75308">
        <w:rPr>
          <w:rFonts w:ascii="Cambria" w:hAnsi="Cambria"/>
          <w:szCs w:val="24"/>
        </w:rPr>
        <w:t>v</w:t>
      </w:r>
      <w:r w:rsidRPr="00787EB4">
        <w:rPr>
          <w:rFonts w:ascii="Cambria" w:hAnsi="Cambria"/>
          <w:szCs w:val="24"/>
        </w:rPr>
        <w:t xml:space="preserve"> nano-piezoelektrickém elektrolytu.</w:t>
      </w:r>
    </w:p>
    <w:p w:rsidR="004D537A" w:rsidRPr="000F14CE" w:rsidRDefault="00CC1F62" w:rsidP="003733F5">
      <w:pPr>
        <w:pStyle w:val="Nadpis2"/>
        <w:numPr>
          <w:ilvl w:val="0"/>
          <w:numId w:val="0"/>
        </w:numPr>
      </w:pPr>
      <w:bookmarkStart w:id="39" w:name="_Toc5881017"/>
      <w:bookmarkStart w:id="40" w:name="_Toc526861146"/>
      <w:r>
        <w:br w:type="page"/>
      </w:r>
      <w:bookmarkStart w:id="41" w:name="_Toc5959549"/>
      <w:r w:rsidR="00227D58" w:rsidRPr="008309BB">
        <w:lastRenderedPageBreak/>
        <w:t>Příloh</w:t>
      </w:r>
      <w:r w:rsidR="000F14CE" w:rsidRPr="008309BB">
        <w:t>a</w:t>
      </w:r>
      <w:r w:rsidR="000F14CE">
        <w:t xml:space="preserve">: </w:t>
      </w:r>
      <w:r w:rsidR="004D537A" w:rsidRPr="000F14CE">
        <w:t>Návrh na řízený sběr a nakládání s UCO</w:t>
      </w:r>
      <w:bookmarkEnd w:id="39"/>
      <w:bookmarkEnd w:id="41"/>
    </w:p>
    <w:p w:rsidR="004D537A" w:rsidRPr="00787EB4" w:rsidRDefault="004D537A" w:rsidP="004C45B9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Ve smyslu směrnice</w:t>
      </w:r>
      <w:r w:rsidR="004C45B9">
        <w:rPr>
          <w:rFonts w:ascii="Cambria" w:hAnsi="Cambria"/>
          <w:szCs w:val="24"/>
        </w:rPr>
        <w:t xml:space="preserve"> </w:t>
      </w:r>
      <w:r w:rsidR="004C45B9" w:rsidRPr="00787EB4">
        <w:rPr>
          <w:rFonts w:ascii="Cambria" w:hAnsi="Cambria"/>
          <w:szCs w:val="24"/>
        </w:rPr>
        <w:t>2015/1513</w:t>
      </w:r>
      <w:r w:rsidRPr="00787EB4">
        <w:rPr>
          <w:rFonts w:ascii="Cambria" w:hAnsi="Cambria"/>
          <w:szCs w:val="24"/>
        </w:rPr>
        <w:t xml:space="preserve"> Rady jsou upotřebené kuchyňské oleje surovinou uvedenou v příloze IX</w:t>
      </w:r>
      <w:r w:rsidR="004C45B9">
        <w:rPr>
          <w:rFonts w:ascii="Cambria" w:hAnsi="Cambria"/>
          <w:szCs w:val="24"/>
        </w:rPr>
        <w:t>,</w:t>
      </w:r>
      <w:r w:rsidRPr="00787EB4">
        <w:rPr>
          <w:rFonts w:ascii="Cambria" w:hAnsi="Cambria"/>
          <w:szCs w:val="24"/>
        </w:rPr>
        <w:t xml:space="preserve"> část A </w:t>
      </w:r>
      <w:proofErr w:type="spellStart"/>
      <w:r w:rsidRPr="00787EB4">
        <w:rPr>
          <w:rFonts w:ascii="Cambria" w:hAnsi="Cambria"/>
          <w:szCs w:val="24"/>
        </w:rPr>
        <w:t>a</w:t>
      </w:r>
      <w:proofErr w:type="spellEnd"/>
      <w:r w:rsidRPr="00787EB4">
        <w:rPr>
          <w:rFonts w:ascii="Cambria" w:hAnsi="Cambria"/>
          <w:szCs w:val="24"/>
        </w:rPr>
        <w:t xml:space="preserve"> B, kterou po zpracování na palivo pro dopravu lze započítat až 2x do plnění cílů OZE a snížení emisí skleníkových plynů při jejich spalování v motoru. Technologie přepracování UCO na palivo jsou běžně známy a již se komerčně využívají (TOTAL, N</w:t>
      </w:r>
      <w:r w:rsidR="004C45B9">
        <w:rPr>
          <w:rFonts w:ascii="Cambria" w:hAnsi="Cambria"/>
          <w:szCs w:val="24"/>
        </w:rPr>
        <w:t xml:space="preserve">este </w:t>
      </w:r>
      <w:proofErr w:type="spellStart"/>
      <w:r w:rsidR="004C45B9">
        <w:rPr>
          <w:rFonts w:ascii="Cambria" w:hAnsi="Cambria"/>
          <w:szCs w:val="24"/>
        </w:rPr>
        <w:t>Oyj</w:t>
      </w:r>
      <w:proofErr w:type="spellEnd"/>
      <w:r w:rsidRPr="00787EB4">
        <w:rPr>
          <w:rFonts w:ascii="Cambria" w:hAnsi="Cambria"/>
          <w:szCs w:val="24"/>
        </w:rPr>
        <w:t xml:space="preserve">, OMV). Produktem přepracování jsou hydrogenované rostlinné oleje, které </w:t>
      </w:r>
      <w:r w:rsidR="004C45B9">
        <w:rPr>
          <w:rFonts w:ascii="Cambria" w:hAnsi="Cambria"/>
          <w:szCs w:val="24"/>
        </w:rPr>
        <w:t>ve</w:t>
      </w:r>
      <w:r w:rsidRPr="00787EB4">
        <w:rPr>
          <w:rFonts w:ascii="Cambria" w:hAnsi="Cambria"/>
          <w:szCs w:val="24"/>
        </w:rPr>
        <w:t xml:space="preserve"> směsi s motorovou naftou dle EN 590 lze použít s výhodou jako palivo pro vozidla se vznětovým motorem.</w:t>
      </w:r>
    </w:p>
    <w:p w:rsidR="004D537A" w:rsidRPr="00787EB4" w:rsidRDefault="004D537A" w:rsidP="004C45B9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V ČR byla ve společnosti UNIPETROL RPA v roce 2016 úspěšně realizována pilotní zkouška zpracování dovezených UCO na HVO. Společnost zvažuje zavedení komerční výroby HVO na principu co-</w:t>
      </w:r>
      <w:proofErr w:type="spellStart"/>
      <w:r w:rsidRPr="00787EB4">
        <w:rPr>
          <w:rFonts w:ascii="Cambria" w:hAnsi="Cambria"/>
          <w:szCs w:val="24"/>
        </w:rPr>
        <w:t>processingu</w:t>
      </w:r>
      <w:proofErr w:type="spellEnd"/>
      <w:r w:rsidRPr="00787EB4">
        <w:rPr>
          <w:rFonts w:ascii="Cambria" w:hAnsi="Cambria"/>
          <w:szCs w:val="24"/>
        </w:rPr>
        <w:t xml:space="preserve"> s plynovými oleji. </w:t>
      </w:r>
    </w:p>
    <w:p w:rsidR="004D537A" w:rsidRDefault="004D537A" w:rsidP="004C45B9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V posledních cca pěti letech se do ČR dováží v malých objemech HVO z Rakouska.</w:t>
      </w:r>
    </w:p>
    <w:p w:rsidR="004D537A" w:rsidRPr="00316047" w:rsidRDefault="004D537A" w:rsidP="008D5D60">
      <w:pPr>
        <w:pStyle w:val="Odstavecseseznamem"/>
        <w:widowControl/>
        <w:tabs>
          <w:tab w:val="left" w:pos="284"/>
        </w:tabs>
        <w:spacing w:after="20"/>
        <w:ind w:left="0"/>
        <w:contextualSpacing w:val="0"/>
        <w:jc w:val="left"/>
        <w:rPr>
          <w:rFonts w:ascii="Cambria" w:hAnsi="Cambria"/>
          <w:szCs w:val="24"/>
          <w:u w:val="single"/>
        </w:rPr>
      </w:pPr>
      <w:r w:rsidRPr="00316047">
        <w:rPr>
          <w:rFonts w:ascii="Cambria" w:hAnsi="Cambria"/>
          <w:szCs w:val="24"/>
          <w:u w:val="single"/>
        </w:rPr>
        <w:t>Vznik a zdroje UCO</w:t>
      </w:r>
    </w:p>
    <w:p w:rsidR="004D537A" w:rsidRPr="00787EB4" w:rsidRDefault="004D537A" w:rsidP="0075780A">
      <w:pPr>
        <w:pStyle w:val="Odstavecseseznamem"/>
        <w:widowControl/>
        <w:tabs>
          <w:tab w:val="left" w:pos="284"/>
        </w:tabs>
        <w:spacing w:after="4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UCO vznikají jako odpadní produkt při tepelném zpracování jedlých rostlinných olejů (slunečnicový, olivový, řepkový, palmový aj.) Spotřeba jedlých rostlinných olejů je v ČR asi 9,5</w:t>
      </w:r>
      <w:r w:rsidR="004C45B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kg/osoba/rok</w:t>
      </w:r>
      <w:r w:rsidR="004C45B9">
        <w:rPr>
          <w:rFonts w:ascii="Cambria" w:hAnsi="Cambria"/>
          <w:szCs w:val="24"/>
        </w:rPr>
        <w:t xml:space="preserve">, </w:t>
      </w:r>
      <w:r w:rsidRPr="00787EB4">
        <w:rPr>
          <w:rFonts w:ascii="Cambria" w:hAnsi="Cambria"/>
          <w:szCs w:val="24"/>
        </w:rPr>
        <w:t>tj.</w:t>
      </w:r>
      <w:r w:rsidR="004C45B9">
        <w:rPr>
          <w:rFonts w:ascii="Cambria" w:hAnsi="Cambria"/>
          <w:szCs w:val="24"/>
        </w:rPr>
        <w:t xml:space="preserve"> </w:t>
      </w:r>
      <w:r w:rsidRPr="00787EB4">
        <w:rPr>
          <w:rFonts w:ascii="Cambria" w:hAnsi="Cambria"/>
          <w:szCs w:val="24"/>
        </w:rPr>
        <w:t>cca 97</w:t>
      </w:r>
      <w:r w:rsidR="004C45B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tis. tun v roce. V portfoliu původu převažuje řepkový,</w:t>
      </w:r>
      <w:r w:rsidR="004C45B9">
        <w:rPr>
          <w:rFonts w:ascii="Cambria" w:hAnsi="Cambria"/>
          <w:szCs w:val="24"/>
        </w:rPr>
        <w:t xml:space="preserve"> </w:t>
      </w:r>
      <w:r w:rsidRPr="00787EB4">
        <w:rPr>
          <w:rFonts w:ascii="Cambria" w:hAnsi="Cambria"/>
          <w:szCs w:val="24"/>
        </w:rPr>
        <w:t xml:space="preserve">olivový a slunečnicový olej. </w:t>
      </w:r>
    </w:p>
    <w:p w:rsidR="004D537A" w:rsidRPr="00787EB4" w:rsidRDefault="004D537A" w:rsidP="0075780A">
      <w:pPr>
        <w:pStyle w:val="Odstavecseseznamem"/>
        <w:widowControl/>
        <w:tabs>
          <w:tab w:val="left" w:pos="284"/>
        </w:tabs>
        <w:spacing w:after="4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Návratnost JRO po tepelném zpracování je odhadována podle způsobu na 50 až 60 %.</w:t>
      </w:r>
    </w:p>
    <w:p w:rsidR="004D537A" w:rsidRPr="00787EB4" w:rsidRDefault="004D537A" w:rsidP="0075780A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UCO je v podstatě tepelně degradovaný původní JRO, který obsahuje pevné nečistoty a</w:t>
      </w:r>
      <w:r w:rsidR="00316047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kaly. Původní složení mastných kyselin je však zachováno jako u JRO. </w:t>
      </w:r>
    </w:p>
    <w:p w:rsidR="004D537A" w:rsidRPr="0075780A" w:rsidRDefault="004D537A" w:rsidP="0075780A">
      <w:pPr>
        <w:pStyle w:val="Odstavecseseznamem"/>
        <w:widowControl/>
        <w:tabs>
          <w:tab w:val="left" w:pos="284"/>
        </w:tabs>
        <w:spacing w:after="40"/>
        <w:ind w:left="0"/>
        <w:contextualSpacing w:val="0"/>
        <w:jc w:val="left"/>
        <w:rPr>
          <w:rFonts w:ascii="Cambria" w:hAnsi="Cambria"/>
          <w:szCs w:val="24"/>
          <w:u w:val="single"/>
        </w:rPr>
      </w:pPr>
      <w:r w:rsidRPr="00787EB4">
        <w:rPr>
          <w:rFonts w:ascii="Cambria" w:hAnsi="Cambria"/>
          <w:szCs w:val="24"/>
          <w:u w:val="single"/>
        </w:rPr>
        <w:t>Využití UCO jako suroviny pro výrobu HVO</w:t>
      </w:r>
    </w:p>
    <w:p w:rsidR="004D537A" w:rsidRPr="00787EB4" w:rsidRDefault="004D537A" w:rsidP="0075780A">
      <w:pPr>
        <w:pStyle w:val="Odstavecseseznamem"/>
        <w:widowControl/>
        <w:tabs>
          <w:tab w:val="left" w:pos="284"/>
        </w:tabs>
        <w:spacing w:after="40"/>
        <w:ind w:left="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Dosud se v převážné většině likviduje UCO vyléváním do kanalizace, kde po ztuhnutí způsobuje vážné problémy. Z domácností (zejména na venkově) se používá jako </w:t>
      </w:r>
      <w:r w:rsidR="0075780A">
        <w:rPr>
          <w:rFonts w:ascii="Cambria" w:hAnsi="Cambria"/>
          <w:szCs w:val="24"/>
        </w:rPr>
        <w:br/>
      </w:r>
      <w:r w:rsidRPr="00787EB4">
        <w:rPr>
          <w:rFonts w:ascii="Cambria" w:hAnsi="Cambria"/>
          <w:szCs w:val="24"/>
        </w:rPr>
        <w:t xml:space="preserve">co-palivo s pevným palivem (uhlí, dříví) v místních topeništích. </w:t>
      </w:r>
    </w:p>
    <w:p w:rsidR="004D537A" w:rsidRPr="0075780A" w:rsidRDefault="004D537A" w:rsidP="0075780A">
      <w:pPr>
        <w:pStyle w:val="Odstavecseseznamem"/>
        <w:widowControl/>
        <w:tabs>
          <w:tab w:val="left" w:pos="284"/>
        </w:tabs>
        <w:spacing w:after="40"/>
        <w:ind w:left="0"/>
        <w:contextualSpacing w:val="0"/>
        <w:rPr>
          <w:rFonts w:ascii="Cambria" w:hAnsi="Cambria"/>
          <w:szCs w:val="24"/>
        </w:rPr>
      </w:pPr>
      <w:r w:rsidRPr="0075780A">
        <w:rPr>
          <w:rFonts w:ascii="Cambria" w:hAnsi="Cambria"/>
          <w:szCs w:val="24"/>
        </w:rPr>
        <w:t xml:space="preserve">Navrhuje se využít UCO jako suroviny pro výrobu vyspělých biopaliv (jako je HVO) a produkt využívat spolu s motorovou naftou jako palivo pro automobily se vznětovým motorem. </w:t>
      </w:r>
    </w:p>
    <w:p w:rsidR="004D537A" w:rsidRPr="00787EB4" w:rsidRDefault="004D537A" w:rsidP="004C45B9">
      <w:pPr>
        <w:pStyle w:val="Odstavecseseznamem"/>
        <w:widowControl/>
        <w:tabs>
          <w:tab w:val="left" w:pos="284"/>
        </w:tabs>
        <w:spacing w:after="60"/>
        <w:ind w:left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K tomu bude potřeba:</w:t>
      </w:r>
    </w:p>
    <w:p w:rsidR="004D537A" w:rsidRPr="00787EB4" w:rsidRDefault="004D537A" w:rsidP="00D74D4A">
      <w:pPr>
        <w:pStyle w:val="Odstavecseseznamem"/>
        <w:widowControl/>
        <w:numPr>
          <w:ilvl w:val="0"/>
          <w:numId w:val="18"/>
        </w:numPr>
        <w:tabs>
          <w:tab w:val="left" w:pos="284"/>
        </w:tabs>
        <w:spacing w:after="60"/>
        <w:ind w:left="284" w:hanging="284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vybudovat na komunální úrovni se státní podporou systém sběru UCO od organizací a</w:t>
      </w:r>
      <w:r w:rsidR="004E6192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občanů</w:t>
      </w:r>
    </w:p>
    <w:p w:rsidR="004D537A" w:rsidRPr="00787EB4" w:rsidRDefault="004D537A" w:rsidP="00D74D4A">
      <w:pPr>
        <w:pStyle w:val="Odstavecseseznamem"/>
        <w:widowControl/>
        <w:numPr>
          <w:ilvl w:val="0"/>
          <w:numId w:val="18"/>
        </w:numPr>
        <w:tabs>
          <w:tab w:val="left" w:pos="284"/>
        </w:tabs>
        <w:spacing w:after="40"/>
        <w:ind w:left="284" w:hanging="284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rekonstruovat stávající rafinérské jednotky na výrobu HVO z UCO.</w:t>
      </w:r>
    </w:p>
    <w:p w:rsidR="004D537A" w:rsidRPr="00787EB4" w:rsidRDefault="004D537A" w:rsidP="004C45B9">
      <w:pPr>
        <w:pStyle w:val="Odstavecseseznamem"/>
        <w:widowControl/>
        <w:tabs>
          <w:tab w:val="left" w:pos="284"/>
        </w:tabs>
        <w:spacing w:after="60"/>
        <w:ind w:left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Přínosy:</w:t>
      </w:r>
    </w:p>
    <w:p w:rsidR="004D537A" w:rsidRPr="00787EB4" w:rsidRDefault="004D537A" w:rsidP="00D74D4A">
      <w:pPr>
        <w:pStyle w:val="Odstavecseseznamem"/>
        <w:widowControl/>
        <w:numPr>
          <w:ilvl w:val="0"/>
          <w:numId w:val="18"/>
        </w:numPr>
        <w:tabs>
          <w:tab w:val="left" w:pos="284"/>
        </w:tabs>
        <w:spacing w:after="60"/>
        <w:ind w:left="284" w:hanging="284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částečně zajistí naplnění cílů směrnice 2018/2001(EU) v náhradě fosilních paliv energií z OZE na bázi vyspělých paliv</w:t>
      </w:r>
    </w:p>
    <w:p w:rsidR="004D537A" w:rsidRPr="00787EB4" w:rsidRDefault="004D537A" w:rsidP="00D74D4A">
      <w:pPr>
        <w:pStyle w:val="Odstavecseseznamem"/>
        <w:widowControl/>
        <w:numPr>
          <w:ilvl w:val="0"/>
          <w:numId w:val="18"/>
        </w:numPr>
        <w:tabs>
          <w:tab w:val="left" w:pos="284"/>
        </w:tabs>
        <w:spacing w:after="60"/>
        <w:ind w:left="284" w:hanging="284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odstraní se problémy s likvidací UCO do kanalizace</w:t>
      </w:r>
    </w:p>
    <w:p w:rsidR="004D537A" w:rsidRPr="00787EB4" w:rsidRDefault="004E6192" w:rsidP="00D74D4A">
      <w:pPr>
        <w:pStyle w:val="Odstavecseseznamem"/>
        <w:widowControl/>
        <w:numPr>
          <w:ilvl w:val="0"/>
          <w:numId w:val="18"/>
        </w:numPr>
        <w:tabs>
          <w:tab w:val="left" w:pos="284"/>
        </w:tabs>
        <w:spacing w:after="60"/>
        <w:ind w:left="284" w:hanging="284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vysoce účinně </w:t>
      </w:r>
      <w:r>
        <w:rPr>
          <w:rFonts w:ascii="Cambria" w:hAnsi="Cambria"/>
          <w:szCs w:val="24"/>
        </w:rPr>
        <w:t xml:space="preserve">se </w:t>
      </w:r>
      <w:r w:rsidR="004D537A" w:rsidRPr="00787EB4">
        <w:rPr>
          <w:rFonts w:ascii="Cambria" w:hAnsi="Cambria"/>
          <w:szCs w:val="24"/>
        </w:rPr>
        <w:t>zhodnotí biologický odpad.</w:t>
      </w:r>
    </w:p>
    <w:p w:rsidR="004D537A" w:rsidRPr="00B63A29" w:rsidRDefault="004D537A" w:rsidP="00C67D03">
      <w:pPr>
        <w:pStyle w:val="Odstavecseseznamem"/>
        <w:widowControl/>
        <w:tabs>
          <w:tab w:val="left" w:pos="284"/>
        </w:tabs>
        <w:spacing w:after="20"/>
        <w:ind w:left="0"/>
        <w:contextualSpacing w:val="0"/>
        <w:jc w:val="left"/>
        <w:rPr>
          <w:rFonts w:ascii="Cambria" w:hAnsi="Cambria"/>
          <w:szCs w:val="24"/>
          <w:u w:val="single"/>
        </w:rPr>
      </w:pPr>
      <w:r w:rsidRPr="00787EB4">
        <w:rPr>
          <w:rFonts w:ascii="Cambria" w:hAnsi="Cambria"/>
          <w:szCs w:val="24"/>
          <w:u w:val="single"/>
        </w:rPr>
        <w:t xml:space="preserve">Organizace </w:t>
      </w:r>
      <w:r w:rsidRPr="00C67D03">
        <w:rPr>
          <w:rFonts w:ascii="Cambria" w:hAnsi="Cambria"/>
          <w:szCs w:val="24"/>
          <w:u w:val="single"/>
        </w:rPr>
        <w:t>řízeného</w:t>
      </w:r>
      <w:r w:rsidRPr="00787EB4">
        <w:rPr>
          <w:rFonts w:ascii="Cambria" w:hAnsi="Cambria"/>
          <w:szCs w:val="24"/>
          <w:u w:val="single"/>
        </w:rPr>
        <w:t xml:space="preserve"> sběru UCO </w:t>
      </w:r>
    </w:p>
    <w:p w:rsidR="004D537A" w:rsidRPr="00787EB4" w:rsidRDefault="004D537A" w:rsidP="00D74D4A">
      <w:pPr>
        <w:pStyle w:val="Odstavecseseznamem"/>
        <w:widowControl/>
        <w:numPr>
          <w:ilvl w:val="0"/>
          <w:numId w:val="6"/>
        </w:numPr>
        <w:tabs>
          <w:tab w:val="left" w:pos="284"/>
        </w:tabs>
        <w:spacing w:after="40"/>
        <w:ind w:hanging="72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současný stav</w:t>
      </w:r>
    </w:p>
    <w:p w:rsidR="004D537A" w:rsidRDefault="00F8525E" w:rsidP="00F8525E">
      <w:pPr>
        <w:pStyle w:val="Odstavecseseznamem"/>
        <w:widowControl/>
        <w:tabs>
          <w:tab w:val="left" w:pos="284"/>
        </w:tabs>
        <w:spacing w:after="40"/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 w:rsidR="004D537A" w:rsidRPr="00787EB4">
        <w:rPr>
          <w:rFonts w:ascii="Cambria" w:hAnsi="Cambria"/>
          <w:szCs w:val="24"/>
        </w:rPr>
        <w:t xml:space="preserve">V ČR není sběr UCO legislativně ošetřen. V posledních dvou letech se však sporadicky objevují na komunální úrovni </w:t>
      </w:r>
      <w:r w:rsidR="004D537A" w:rsidRPr="00493C83">
        <w:rPr>
          <w:rFonts w:ascii="Cambria" w:hAnsi="Cambria"/>
          <w:szCs w:val="24"/>
        </w:rPr>
        <w:t xml:space="preserve">(Praha, </w:t>
      </w:r>
      <w:proofErr w:type="spellStart"/>
      <w:r w:rsidR="004D537A" w:rsidRPr="00493C83">
        <w:rPr>
          <w:rFonts w:ascii="Cambria" w:hAnsi="Cambria"/>
          <w:szCs w:val="24"/>
        </w:rPr>
        <w:t>ČernohlávekO</w:t>
      </w:r>
      <w:r w:rsidR="0046187A" w:rsidRPr="00493C83">
        <w:rPr>
          <w:rFonts w:ascii="Cambria" w:hAnsi="Cambria"/>
          <w:szCs w:val="24"/>
        </w:rPr>
        <w:t>il</w:t>
      </w:r>
      <w:proofErr w:type="spellEnd"/>
      <w:r w:rsidR="0046187A" w:rsidRPr="00493C83">
        <w:rPr>
          <w:rFonts w:ascii="Cambria" w:hAnsi="Cambria"/>
          <w:szCs w:val="24"/>
        </w:rPr>
        <w:t>, Církvice</w:t>
      </w:r>
      <w:r w:rsidR="004D537A" w:rsidRPr="00493C83">
        <w:rPr>
          <w:rFonts w:ascii="Cambria" w:hAnsi="Cambria"/>
          <w:szCs w:val="24"/>
        </w:rPr>
        <w:t>)</w:t>
      </w:r>
      <w:r w:rsidR="004D537A" w:rsidRPr="00787EB4">
        <w:rPr>
          <w:rFonts w:ascii="Cambria" w:hAnsi="Cambria"/>
          <w:szCs w:val="24"/>
        </w:rPr>
        <w:t xml:space="preserve"> snahy sbírat olej od domácností a organizací na základě </w:t>
      </w:r>
      <w:r w:rsidR="00097F88">
        <w:rPr>
          <w:rFonts w:ascii="Cambria" w:hAnsi="Cambria"/>
          <w:szCs w:val="24"/>
        </w:rPr>
        <w:t>„</w:t>
      </w:r>
      <w:r w:rsidR="004D537A" w:rsidRPr="00787EB4">
        <w:rPr>
          <w:rFonts w:ascii="Cambria" w:hAnsi="Cambria"/>
          <w:szCs w:val="24"/>
        </w:rPr>
        <w:t>dobrovolného přístupu</w:t>
      </w:r>
      <w:r w:rsidR="00097F88">
        <w:rPr>
          <w:rFonts w:ascii="Cambria" w:hAnsi="Cambria"/>
          <w:szCs w:val="24"/>
        </w:rPr>
        <w:t>“</w:t>
      </w:r>
      <w:r w:rsidR="004D537A" w:rsidRPr="00787EB4">
        <w:rPr>
          <w:rFonts w:ascii="Cambria" w:hAnsi="Cambria"/>
          <w:szCs w:val="24"/>
        </w:rPr>
        <w:t xml:space="preserve">. Sběrny UCO jsou umísťovány na veřejných vyhlášených místech a ve sběrných dvorech obcí. Obce k tomu vyhlašují informační kampaň a stanovují jednoduché podmínky sběru (zejména nemísit UCO se upotřebenými minerálními oleji, rozpouštědly, ředidly, </w:t>
      </w:r>
      <w:r w:rsidR="004D537A" w:rsidRPr="00787EB4">
        <w:rPr>
          <w:rFonts w:ascii="Cambria" w:hAnsi="Cambria"/>
          <w:szCs w:val="24"/>
        </w:rPr>
        <w:lastRenderedPageBreak/>
        <w:t>plasty aj.).</w:t>
      </w:r>
      <w:r w:rsidR="00097F88">
        <w:rPr>
          <w:rFonts w:ascii="Cambria" w:hAnsi="Cambria"/>
          <w:szCs w:val="24"/>
        </w:rPr>
        <w:t xml:space="preserve"> </w:t>
      </w:r>
      <w:r w:rsidR="004D537A" w:rsidRPr="00787EB4">
        <w:rPr>
          <w:rFonts w:ascii="Cambria" w:hAnsi="Cambria"/>
          <w:szCs w:val="24"/>
        </w:rPr>
        <w:t>UCO pak na základě smlouvy odváží specializované organizace. UCO obvykle nabízí jako palivo.</w:t>
      </w:r>
    </w:p>
    <w:p w:rsidR="004D537A" w:rsidRPr="00787EB4" w:rsidRDefault="004D537A" w:rsidP="00D74D4A">
      <w:pPr>
        <w:pStyle w:val="Odstavecseseznamem"/>
        <w:widowControl/>
        <w:numPr>
          <w:ilvl w:val="0"/>
          <w:numId w:val="6"/>
        </w:numPr>
        <w:tabs>
          <w:tab w:val="left" w:pos="284"/>
        </w:tabs>
        <w:spacing w:after="40"/>
        <w:ind w:hanging="72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navržený stav </w:t>
      </w:r>
    </w:p>
    <w:p w:rsidR="004D537A" w:rsidRPr="00787EB4" w:rsidRDefault="00F8525E" w:rsidP="00F8525E">
      <w:pPr>
        <w:pStyle w:val="Odstavecseseznamem"/>
        <w:widowControl/>
        <w:tabs>
          <w:tab w:val="left" w:pos="284"/>
        </w:tabs>
        <w:spacing w:after="40"/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 w:rsidR="004D537A" w:rsidRPr="00787EB4">
        <w:rPr>
          <w:rFonts w:ascii="Cambria" w:hAnsi="Cambria"/>
          <w:szCs w:val="24"/>
        </w:rPr>
        <w:t>Prostřednictvím státní správy (MŽP</w:t>
      </w:r>
      <w:r w:rsidR="00C2744D">
        <w:rPr>
          <w:rFonts w:ascii="Cambria" w:hAnsi="Cambria"/>
          <w:szCs w:val="24"/>
        </w:rPr>
        <w:t>,</w:t>
      </w:r>
      <w:r w:rsidR="004D537A" w:rsidRPr="00787EB4">
        <w:rPr>
          <w:rFonts w:ascii="Cambria" w:hAnsi="Cambria"/>
          <w:szCs w:val="24"/>
        </w:rPr>
        <w:t xml:space="preserve"> odbor odpadů) definovat UCO jako „nebezpečný odpad“. Prostřednictvím legislativního aktu (nařízení vlády) stanovit podmínky sběru: od organizací prostřednictvím specializovaných firem, od občanů formou místně určených „sběrných míst“ a sběrných dvorů a případně čerpacích stanic. Definovat jednoduché podmínky sběru UCO. Svoz UCO dohodnout se společnostmi likvidujícími komunální odpad. </w:t>
      </w:r>
    </w:p>
    <w:p w:rsidR="004D537A" w:rsidRPr="00787EB4" w:rsidRDefault="004D537A" w:rsidP="00D74D4A">
      <w:pPr>
        <w:pStyle w:val="Odstavecseseznamem"/>
        <w:widowControl/>
        <w:numPr>
          <w:ilvl w:val="0"/>
          <w:numId w:val="6"/>
        </w:numPr>
        <w:tabs>
          <w:tab w:val="left" w:pos="284"/>
        </w:tabs>
        <w:spacing w:after="40"/>
        <w:ind w:hanging="72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ekonomické podmínky sběru </w:t>
      </w:r>
    </w:p>
    <w:p w:rsidR="004D537A" w:rsidRPr="00787EB4" w:rsidRDefault="00F8525E" w:rsidP="00C2744D">
      <w:pPr>
        <w:pStyle w:val="Odstavecseseznamem"/>
        <w:widowControl/>
        <w:tabs>
          <w:tab w:val="left" w:pos="284"/>
        </w:tabs>
        <w:spacing w:after="60"/>
        <w:ind w:left="0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 w:rsidR="004D537A" w:rsidRPr="00787EB4">
        <w:rPr>
          <w:rFonts w:ascii="Cambria" w:hAnsi="Cambria"/>
          <w:szCs w:val="24"/>
        </w:rPr>
        <w:t>Stanovit výkupní cenu pro odběratele UCO</w:t>
      </w:r>
      <w:r w:rsidR="00C2744D">
        <w:rPr>
          <w:rFonts w:ascii="Cambria" w:hAnsi="Cambria"/>
          <w:szCs w:val="24"/>
        </w:rPr>
        <w:t>.</w:t>
      </w:r>
    </w:p>
    <w:p w:rsidR="004D537A" w:rsidRPr="00787EB4" w:rsidRDefault="004D537A" w:rsidP="00D74D4A">
      <w:pPr>
        <w:pStyle w:val="Odstavecseseznamem"/>
        <w:widowControl/>
        <w:numPr>
          <w:ilvl w:val="0"/>
          <w:numId w:val="6"/>
        </w:numPr>
        <w:tabs>
          <w:tab w:val="left" w:pos="284"/>
        </w:tabs>
        <w:spacing w:after="40"/>
        <w:ind w:hanging="72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osvěta sběru UCO </w:t>
      </w:r>
    </w:p>
    <w:p w:rsidR="004D537A" w:rsidRPr="00787EB4" w:rsidRDefault="00F8525E" w:rsidP="00F8525E">
      <w:pPr>
        <w:pStyle w:val="Odstavecseseznamem"/>
        <w:widowControl/>
        <w:tabs>
          <w:tab w:val="left" w:pos="284"/>
        </w:tabs>
        <w:spacing w:after="40"/>
        <w:ind w:left="284" w:hanging="284"/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 w:rsidR="004D537A" w:rsidRPr="00787EB4">
        <w:rPr>
          <w:rFonts w:ascii="Cambria" w:hAnsi="Cambria"/>
          <w:szCs w:val="24"/>
        </w:rPr>
        <w:t>Zorganizovat masivní vysvětlující kampaň pro občany a organizace na podporu sběru UCO v T</w:t>
      </w:r>
      <w:r w:rsidR="00C2744D">
        <w:rPr>
          <w:rFonts w:ascii="Cambria" w:hAnsi="Cambria"/>
          <w:szCs w:val="24"/>
        </w:rPr>
        <w:t>V</w:t>
      </w:r>
      <w:r w:rsidR="004D537A" w:rsidRPr="00787EB4">
        <w:rPr>
          <w:rFonts w:ascii="Cambria" w:hAnsi="Cambria"/>
          <w:szCs w:val="24"/>
        </w:rPr>
        <w:t>, celostátních a regionálních m</w:t>
      </w:r>
      <w:r w:rsidR="00C2744D">
        <w:rPr>
          <w:rFonts w:ascii="Cambria" w:hAnsi="Cambria"/>
          <w:szCs w:val="24"/>
        </w:rPr>
        <w:t>é</w:t>
      </w:r>
      <w:r w:rsidR="004D537A" w:rsidRPr="00787EB4">
        <w:rPr>
          <w:rFonts w:ascii="Cambria" w:hAnsi="Cambria"/>
          <w:szCs w:val="24"/>
        </w:rPr>
        <w:t xml:space="preserve">diích, </w:t>
      </w:r>
      <w:r w:rsidR="00C2744D">
        <w:rPr>
          <w:rFonts w:ascii="Cambria" w:hAnsi="Cambria"/>
          <w:szCs w:val="24"/>
        </w:rPr>
        <w:t xml:space="preserve">na </w:t>
      </w:r>
      <w:r w:rsidR="004D537A" w:rsidRPr="00787EB4">
        <w:rPr>
          <w:rFonts w:ascii="Cambria" w:hAnsi="Cambria"/>
          <w:szCs w:val="24"/>
        </w:rPr>
        <w:t>bil</w:t>
      </w:r>
      <w:r w:rsidR="00C2744D">
        <w:rPr>
          <w:rFonts w:ascii="Cambria" w:hAnsi="Cambria"/>
          <w:szCs w:val="24"/>
        </w:rPr>
        <w:t>l</w:t>
      </w:r>
      <w:r w:rsidR="004D537A" w:rsidRPr="00787EB4">
        <w:rPr>
          <w:rFonts w:ascii="Cambria" w:hAnsi="Cambria"/>
          <w:szCs w:val="24"/>
        </w:rPr>
        <w:t>board</w:t>
      </w:r>
      <w:r w:rsidR="00C2744D">
        <w:rPr>
          <w:rFonts w:ascii="Cambria" w:hAnsi="Cambria"/>
          <w:szCs w:val="24"/>
        </w:rPr>
        <w:t>ech</w:t>
      </w:r>
      <w:r w:rsidR="004D537A" w:rsidRPr="00787EB4">
        <w:rPr>
          <w:rFonts w:ascii="Cambria" w:hAnsi="Cambria"/>
          <w:szCs w:val="24"/>
        </w:rPr>
        <w:t xml:space="preserve">, </w:t>
      </w:r>
      <w:r w:rsidR="00C2744D">
        <w:rPr>
          <w:rFonts w:ascii="Cambria" w:hAnsi="Cambria"/>
          <w:szCs w:val="24"/>
        </w:rPr>
        <w:t xml:space="preserve">v </w:t>
      </w:r>
      <w:r w:rsidR="004D537A" w:rsidRPr="00787EB4">
        <w:rPr>
          <w:rFonts w:ascii="Cambria" w:hAnsi="Cambria"/>
          <w:szCs w:val="24"/>
        </w:rPr>
        <w:t>letá</w:t>
      </w:r>
      <w:r w:rsidR="00C2744D">
        <w:rPr>
          <w:rFonts w:ascii="Cambria" w:hAnsi="Cambria"/>
          <w:szCs w:val="24"/>
        </w:rPr>
        <w:t>cích</w:t>
      </w:r>
      <w:r w:rsidR="004D537A" w:rsidRPr="00787EB4">
        <w:rPr>
          <w:rFonts w:ascii="Cambria" w:hAnsi="Cambria"/>
          <w:szCs w:val="24"/>
        </w:rPr>
        <w:t xml:space="preserve"> </w:t>
      </w:r>
      <w:r w:rsidR="00C2744D">
        <w:rPr>
          <w:rFonts w:ascii="Cambria" w:hAnsi="Cambria"/>
          <w:szCs w:val="24"/>
        </w:rPr>
        <w:t>a</w:t>
      </w:r>
      <w:r w:rsidR="004D537A" w:rsidRPr="00787EB4">
        <w:rPr>
          <w:rFonts w:ascii="Cambria" w:hAnsi="Cambria"/>
          <w:szCs w:val="24"/>
        </w:rPr>
        <w:t>pod. Připravit vhodnou argumentaci pro skupin</w:t>
      </w:r>
      <w:r w:rsidR="00C2744D">
        <w:rPr>
          <w:rFonts w:ascii="Cambria" w:hAnsi="Cambria"/>
          <w:szCs w:val="24"/>
        </w:rPr>
        <w:t>y</w:t>
      </w:r>
      <w:r w:rsidR="004D537A" w:rsidRPr="00787EB4">
        <w:rPr>
          <w:rFonts w:ascii="Cambria" w:hAnsi="Cambria"/>
          <w:szCs w:val="24"/>
        </w:rPr>
        <w:t xml:space="preserve"> motorist</w:t>
      </w:r>
      <w:r w:rsidR="00C2744D">
        <w:rPr>
          <w:rFonts w:ascii="Cambria" w:hAnsi="Cambria"/>
          <w:szCs w:val="24"/>
        </w:rPr>
        <w:t>é</w:t>
      </w:r>
      <w:r w:rsidR="004D537A" w:rsidRPr="00787EB4">
        <w:rPr>
          <w:rFonts w:ascii="Cambria" w:hAnsi="Cambria"/>
          <w:szCs w:val="24"/>
        </w:rPr>
        <w:t>, domácnosti, hotely a</w:t>
      </w:r>
      <w:r>
        <w:rPr>
          <w:rFonts w:ascii="Cambria" w:hAnsi="Cambria"/>
          <w:szCs w:val="24"/>
        </w:rPr>
        <w:t> </w:t>
      </w:r>
      <w:r w:rsidR="004D537A" w:rsidRPr="00787EB4">
        <w:rPr>
          <w:rFonts w:ascii="Cambria" w:hAnsi="Cambria"/>
          <w:szCs w:val="24"/>
        </w:rPr>
        <w:t xml:space="preserve">vývařovny. </w:t>
      </w:r>
    </w:p>
    <w:p w:rsidR="004D537A" w:rsidRPr="00787EB4" w:rsidRDefault="004D537A" w:rsidP="00D74D4A">
      <w:pPr>
        <w:pStyle w:val="Odstavecseseznamem"/>
        <w:widowControl/>
        <w:numPr>
          <w:ilvl w:val="0"/>
          <w:numId w:val="6"/>
        </w:numPr>
        <w:tabs>
          <w:tab w:val="left" w:pos="284"/>
        </w:tabs>
        <w:spacing w:after="40"/>
        <w:ind w:hanging="720"/>
        <w:contextualSpacing w:val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 xml:space="preserve">legislativní opatření </w:t>
      </w:r>
    </w:p>
    <w:p w:rsidR="004D537A" w:rsidRPr="00787EB4" w:rsidRDefault="00F8525E" w:rsidP="00F8525E">
      <w:pPr>
        <w:pStyle w:val="Odstavecseseznamem"/>
        <w:widowControl/>
        <w:tabs>
          <w:tab w:val="left" w:pos="284"/>
        </w:tabs>
        <w:spacing w:after="60"/>
        <w:ind w:left="284" w:hanging="284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 w:rsidR="004D537A" w:rsidRPr="00787EB4">
        <w:rPr>
          <w:rFonts w:ascii="Cambria" w:hAnsi="Cambria"/>
          <w:szCs w:val="24"/>
        </w:rPr>
        <w:t xml:space="preserve">Projednat ve vládě informační materiál o sběru a zpracování UCO a vydat </w:t>
      </w:r>
      <w:r w:rsidR="00704A5D">
        <w:rPr>
          <w:rFonts w:ascii="Cambria" w:hAnsi="Cambria"/>
          <w:szCs w:val="24"/>
        </w:rPr>
        <w:t>n</w:t>
      </w:r>
      <w:r w:rsidR="004D537A" w:rsidRPr="00787EB4">
        <w:rPr>
          <w:rFonts w:ascii="Cambria" w:hAnsi="Cambria"/>
          <w:szCs w:val="24"/>
        </w:rPr>
        <w:t xml:space="preserve">ařízení vlády o podmínkách povinného sběru UCO (MŽP, MPO). </w:t>
      </w:r>
    </w:p>
    <w:p w:rsidR="004D537A" w:rsidRPr="00787EB4" w:rsidRDefault="004D537A" w:rsidP="004C45B9">
      <w:pPr>
        <w:pStyle w:val="Odstavecseseznamem"/>
        <w:widowControl/>
        <w:tabs>
          <w:tab w:val="left" w:pos="284"/>
        </w:tabs>
        <w:spacing w:after="60"/>
        <w:ind w:left="0"/>
        <w:rPr>
          <w:rFonts w:ascii="Cambria" w:hAnsi="Cambria"/>
          <w:szCs w:val="24"/>
          <w:u w:val="single"/>
        </w:rPr>
      </w:pPr>
    </w:p>
    <w:p w:rsidR="004D537A" w:rsidRPr="00787EB4" w:rsidRDefault="004D537A" w:rsidP="004C45B9">
      <w:pPr>
        <w:pStyle w:val="Odstavecseseznamem"/>
        <w:widowControl/>
        <w:tabs>
          <w:tab w:val="left" w:pos="284"/>
        </w:tabs>
        <w:spacing w:after="60"/>
        <w:ind w:left="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Literatura</w:t>
      </w:r>
      <w:r w:rsidR="00AD1845">
        <w:rPr>
          <w:rFonts w:ascii="Cambria" w:hAnsi="Cambria"/>
          <w:szCs w:val="24"/>
        </w:rPr>
        <w:t>:</w:t>
      </w:r>
    </w:p>
    <w:p w:rsidR="004D537A" w:rsidRPr="00787EB4" w:rsidRDefault="004D537A" w:rsidP="00D74D4A">
      <w:pPr>
        <w:pStyle w:val="Odstavecseseznamem"/>
        <w:widowControl/>
        <w:numPr>
          <w:ilvl w:val="0"/>
          <w:numId w:val="7"/>
        </w:numPr>
        <w:tabs>
          <w:tab w:val="left" w:pos="284"/>
        </w:tabs>
        <w:spacing w:after="60"/>
        <w:ind w:hanging="7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MEROCO, a.s., P</w:t>
      </w:r>
      <w:r w:rsidR="00E7074F">
        <w:rPr>
          <w:rFonts w:ascii="Cambria" w:hAnsi="Cambria"/>
          <w:szCs w:val="24"/>
        </w:rPr>
        <w:t>.</w:t>
      </w:r>
      <w:r w:rsidR="004A064B">
        <w:rPr>
          <w:rFonts w:ascii="Cambria" w:hAnsi="Cambria"/>
          <w:szCs w:val="24"/>
        </w:rPr>
        <w:t xml:space="preserve"> </w:t>
      </w:r>
      <w:proofErr w:type="spellStart"/>
      <w:r w:rsidRPr="00787EB4">
        <w:rPr>
          <w:rFonts w:ascii="Cambria" w:hAnsi="Cambria"/>
          <w:szCs w:val="24"/>
        </w:rPr>
        <w:t>Šrojta</w:t>
      </w:r>
      <w:proofErr w:type="spellEnd"/>
      <w:r w:rsidRPr="00787EB4">
        <w:rPr>
          <w:rFonts w:ascii="Cambria" w:hAnsi="Cambria"/>
          <w:szCs w:val="24"/>
        </w:rPr>
        <w:t>, 0</w:t>
      </w:r>
      <w:r w:rsidR="00F8525E">
        <w:rPr>
          <w:rFonts w:ascii="Cambria" w:hAnsi="Cambria"/>
          <w:szCs w:val="24"/>
        </w:rPr>
        <w:t>4</w:t>
      </w:r>
      <w:r w:rsidRPr="00787EB4">
        <w:rPr>
          <w:rFonts w:ascii="Cambria" w:hAnsi="Cambria"/>
          <w:szCs w:val="24"/>
        </w:rPr>
        <w:t>/201</w:t>
      </w:r>
      <w:r w:rsidR="00F8525E">
        <w:rPr>
          <w:rFonts w:ascii="Cambria" w:hAnsi="Cambria"/>
          <w:szCs w:val="24"/>
        </w:rPr>
        <w:t>6</w:t>
      </w:r>
      <w:r w:rsidRPr="00787EB4">
        <w:rPr>
          <w:rFonts w:ascii="Cambria" w:hAnsi="Cambria"/>
          <w:szCs w:val="24"/>
        </w:rPr>
        <w:t>, prezentace pro ČAPPO</w:t>
      </w:r>
    </w:p>
    <w:p w:rsidR="004D537A" w:rsidRPr="00F8525E" w:rsidRDefault="004D537A" w:rsidP="00D74D4A">
      <w:pPr>
        <w:pStyle w:val="Odstavecseseznamem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284"/>
        <w:rPr>
          <w:rFonts w:ascii="Cambria" w:hAnsi="Cambria"/>
          <w:szCs w:val="24"/>
        </w:rPr>
      </w:pPr>
      <w:r w:rsidRPr="00F8525E">
        <w:rPr>
          <w:rFonts w:ascii="Cambria" w:hAnsi="Cambria"/>
          <w:szCs w:val="24"/>
        </w:rPr>
        <w:t xml:space="preserve">Možnosti sběru a zpracování UCO v ČR, </w:t>
      </w:r>
      <w:r w:rsidR="00F8525E" w:rsidRPr="00F8525E">
        <w:rPr>
          <w:rFonts w:ascii="Cambria" w:hAnsi="Cambria"/>
          <w:szCs w:val="24"/>
        </w:rPr>
        <w:t>TRAFIN OIL</w:t>
      </w:r>
      <w:r w:rsidRPr="00F8525E">
        <w:rPr>
          <w:rFonts w:ascii="Cambria" w:hAnsi="Cambria"/>
          <w:szCs w:val="24"/>
        </w:rPr>
        <w:t xml:space="preserve">, </w:t>
      </w:r>
      <w:r w:rsidR="00F8525E">
        <w:rPr>
          <w:rFonts w:ascii="Cambria" w:hAnsi="Cambria"/>
          <w:szCs w:val="24"/>
        </w:rPr>
        <w:t xml:space="preserve">a.s., </w:t>
      </w:r>
      <w:r w:rsidRPr="00F8525E">
        <w:rPr>
          <w:rFonts w:ascii="Cambria" w:hAnsi="Cambria"/>
          <w:szCs w:val="24"/>
        </w:rPr>
        <w:t>J</w:t>
      </w:r>
      <w:r w:rsidR="00E7074F">
        <w:rPr>
          <w:rFonts w:ascii="Cambria" w:hAnsi="Cambria"/>
          <w:szCs w:val="24"/>
        </w:rPr>
        <w:t xml:space="preserve">. </w:t>
      </w:r>
      <w:r w:rsidRPr="00F8525E">
        <w:rPr>
          <w:rFonts w:ascii="Cambria" w:hAnsi="Cambria"/>
          <w:szCs w:val="24"/>
        </w:rPr>
        <w:t>Hába,</w:t>
      </w:r>
      <w:r w:rsidR="00F8525E">
        <w:rPr>
          <w:rFonts w:ascii="Cambria" w:hAnsi="Cambria"/>
          <w:szCs w:val="24"/>
        </w:rPr>
        <w:t xml:space="preserve"> </w:t>
      </w:r>
      <w:r w:rsidR="00F8525E" w:rsidRPr="00F8525E">
        <w:rPr>
          <w:rFonts w:ascii="Cambria" w:hAnsi="Cambria"/>
          <w:szCs w:val="24"/>
        </w:rPr>
        <w:t>10/2016</w:t>
      </w:r>
      <w:r w:rsidR="00F8525E">
        <w:rPr>
          <w:rFonts w:ascii="Cambria" w:hAnsi="Cambria"/>
          <w:szCs w:val="24"/>
        </w:rPr>
        <w:t>,</w:t>
      </w:r>
      <w:r w:rsidR="00F8525E" w:rsidRPr="00F8525E">
        <w:rPr>
          <w:rFonts w:ascii="Cambria" w:hAnsi="Cambria"/>
          <w:szCs w:val="24"/>
        </w:rPr>
        <w:t xml:space="preserve"> prezentace </w:t>
      </w:r>
      <w:r w:rsidRPr="00F8525E">
        <w:rPr>
          <w:rFonts w:ascii="Cambria" w:hAnsi="Cambria"/>
          <w:szCs w:val="24"/>
        </w:rPr>
        <w:t>pro ČAPPO</w:t>
      </w:r>
    </w:p>
    <w:p w:rsidR="004D537A" w:rsidRPr="004D537A" w:rsidRDefault="004D537A" w:rsidP="004D537A"/>
    <w:p w:rsidR="00CA788D" w:rsidRPr="00787EB4" w:rsidRDefault="00227D58" w:rsidP="003733F5">
      <w:pPr>
        <w:pStyle w:val="Nadpis2"/>
        <w:numPr>
          <w:ilvl w:val="0"/>
          <w:numId w:val="0"/>
        </w:numPr>
      </w:pPr>
      <w:r>
        <w:br w:type="page"/>
      </w:r>
      <w:bookmarkStart w:id="42" w:name="_Toc5881018"/>
      <w:bookmarkStart w:id="43" w:name="_Toc5959550"/>
      <w:r w:rsidR="00CA788D" w:rsidRPr="00787EB4">
        <w:lastRenderedPageBreak/>
        <w:t>Seznam zkratek</w:t>
      </w:r>
      <w:bookmarkEnd w:id="40"/>
      <w:bookmarkEnd w:id="42"/>
      <w:bookmarkEnd w:id="43"/>
      <w:r w:rsidR="00CA788D" w:rsidRPr="00787EB4">
        <w:t xml:space="preserve"> 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B7</w:t>
      </w:r>
      <w:r w:rsidRPr="00787EB4">
        <w:rPr>
          <w:rFonts w:ascii="Cambria" w:hAnsi="Cambria"/>
          <w:szCs w:val="24"/>
        </w:rPr>
        <w:tab/>
        <w:t>motorová nafta ČSN EN 590 s obsahem biosložky do 7 % objem.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ind w:left="1418" w:hanging="1418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B20</w:t>
      </w:r>
      <w:r w:rsidRPr="00787EB4">
        <w:rPr>
          <w:rFonts w:ascii="Cambria" w:hAnsi="Cambria"/>
          <w:szCs w:val="24"/>
        </w:rPr>
        <w:tab/>
        <w:t>motorová nafta SN EN 16709 (65 6510) s obsahem biosložky od 20 do 25 % objem.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B30</w:t>
      </w:r>
      <w:r w:rsidRPr="00787EB4">
        <w:rPr>
          <w:rFonts w:ascii="Cambria" w:hAnsi="Cambria"/>
          <w:szCs w:val="24"/>
        </w:rPr>
        <w:tab/>
        <w:t>motorová nafta ČSN 656508 s obsahem biosložky od 25 do 30 % objem.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BNG</w:t>
      </w:r>
      <w:r w:rsidRPr="00787EB4">
        <w:rPr>
          <w:rFonts w:ascii="Cambria" w:hAnsi="Cambria"/>
          <w:szCs w:val="24"/>
        </w:rPr>
        <w:tab/>
        <w:t>zkapalněný zemní plyn vyrobený z biomasy nebo bioodpadu (biometan)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CNG</w:t>
      </w:r>
      <w:r w:rsidRPr="00787EB4">
        <w:rPr>
          <w:rFonts w:ascii="Cambria" w:hAnsi="Cambria"/>
          <w:szCs w:val="24"/>
        </w:rPr>
        <w:tab/>
        <w:t xml:space="preserve">stlačený zemní plyn 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CO2</w:t>
      </w:r>
      <w:r w:rsidRPr="00787EB4">
        <w:rPr>
          <w:rFonts w:ascii="Cambria" w:hAnsi="Cambria"/>
          <w:szCs w:val="24"/>
        </w:rPr>
        <w:tab/>
        <w:t>oxid uhličitý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ČAPPO</w:t>
      </w:r>
      <w:r w:rsidRPr="00787EB4">
        <w:rPr>
          <w:rFonts w:ascii="Cambria" w:hAnsi="Cambria"/>
          <w:szCs w:val="24"/>
        </w:rPr>
        <w:tab/>
        <w:t>Česká asociace petrolejářského průmyslu a obchodu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ČSN</w:t>
      </w:r>
      <w:r w:rsidRPr="00787EB4">
        <w:rPr>
          <w:rFonts w:ascii="Cambria" w:hAnsi="Cambria"/>
          <w:szCs w:val="24"/>
        </w:rPr>
        <w:tab/>
        <w:t>Česká technická norma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E10</w:t>
      </w:r>
      <w:r w:rsidRPr="00787EB4">
        <w:rPr>
          <w:rFonts w:ascii="Cambria" w:hAnsi="Cambria"/>
          <w:szCs w:val="24"/>
        </w:rPr>
        <w:tab/>
        <w:t>automobilový benzin ČSN EN 228 s obsahem biosložky do 10 % objem.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EHP</w:t>
      </w:r>
      <w:r w:rsidR="00CB7B30">
        <w:rPr>
          <w:rFonts w:ascii="Cambria" w:hAnsi="Cambria"/>
          <w:szCs w:val="24"/>
        </w:rPr>
        <w:tab/>
        <w:t>E</w:t>
      </w:r>
      <w:r w:rsidRPr="00787EB4">
        <w:rPr>
          <w:rFonts w:ascii="Cambria" w:hAnsi="Cambria"/>
          <w:szCs w:val="24"/>
        </w:rPr>
        <w:t xml:space="preserve">vropský hospodářský prostor 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ind w:left="1418" w:hanging="1418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EK</w:t>
      </w:r>
      <w:r w:rsidRPr="00787EB4">
        <w:rPr>
          <w:rFonts w:ascii="Cambria" w:hAnsi="Cambria"/>
          <w:szCs w:val="24"/>
        </w:rPr>
        <w:tab/>
        <w:t>Evropská komise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ind w:left="1418" w:hanging="1418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EN</w:t>
      </w:r>
      <w:r w:rsidRPr="00787EB4">
        <w:rPr>
          <w:rFonts w:ascii="Cambria" w:hAnsi="Cambria"/>
          <w:szCs w:val="24"/>
        </w:rPr>
        <w:tab/>
        <w:t>Evropská norma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FT</w:t>
      </w:r>
      <w:r w:rsidRPr="00787EB4">
        <w:rPr>
          <w:rFonts w:ascii="Cambria" w:hAnsi="Cambria"/>
          <w:szCs w:val="24"/>
        </w:rPr>
        <w:tab/>
        <w:t xml:space="preserve">Fischer </w:t>
      </w:r>
      <w:proofErr w:type="spellStart"/>
      <w:r w:rsidRPr="00787EB4">
        <w:rPr>
          <w:rFonts w:ascii="Cambria" w:hAnsi="Cambria"/>
          <w:szCs w:val="24"/>
        </w:rPr>
        <w:t>Tropschova</w:t>
      </w:r>
      <w:proofErr w:type="spellEnd"/>
      <w:r w:rsidRPr="00787EB4">
        <w:rPr>
          <w:rFonts w:ascii="Cambria" w:hAnsi="Cambria"/>
          <w:szCs w:val="24"/>
        </w:rPr>
        <w:t xml:space="preserve"> syntéza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HVO</w:t>
      </w:r>
      <w:r w:rsidRPr="00787EB4">
        <w:rPr>
          <w:rFonts w:ascii="Cambria" w:hAnsi="Cambria"/>
          <w:szCs w:val="24"/>
        </w:rPr>
        <w:tab/>
        <w:t>hydrogenovaný rostlinný olej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JRO</w:t>
      </w:r>
      <w:r w:rsidR="0065195C">
        <w:rPr>
          <w:rFonts w:ascii="Cambria" w:hAnsi="Cambria"/>
          <w:szCs w:val="24"/>
        </w:rPr>
        <w:tab/>
      </w:r>
      <w:r w:rsidRPr="00787EB4">
        <w:rPr>
          <w:rFonts w:ascii="Cambria" w:hAnsi="Cambria"/>
          <w:szCs w:val="24"/>
        </w:rPr>
        <w:t xml:space="preserve">jedlé rostlinné oleje 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LHSV</w:t>
      </w:r>
      <w:r w:rsidR="0065195C">
        <w:rPr>
          <w:rFonts w:ascii="Cambria" w:hAnsi="Cambria"/>
          <w:szCs w:val="24"/>
        </w:rPr>
        <w:tab/>
      </w:r>
      <w:r w:rsidRPr="00787EB4">
        <w:rPr>
          <w:rFonts w:ascii="Cambria" w:hAnsi="Cambria"/>
          <w:szCs w:val="24"/>
        </w:rPr>
        <w:t xml:space="preserve">objemová rychlost 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LPG</w:t>
      </w:r>
      <w:r w:rsidRPr="00787EB4">
        <w:rPr>
          <w:rFonts w:ascii="Cambria" w:hAnsi="Cambria"/>
          <w:szCs w:val="24"/>
        </w:rPr>
        <w:tab/>
        <w:t>zkapalněné ropné plyny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MPO</w:t>
      </w:r>
      <w:r w:rsidRPr="00787EB4">
        <w:rPr>
          <w:rFonts w:ascii="Cambria" w:hAnsi="Cambria"/>
          <w:szCs w:val="24"/>
        </w:rPr>
        <w:tab/>
        <w:t xml:space="preserve">Ministerstvo průmyslu a obchodu 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OZE</w:t>
      </w:r>
      <w:r w:rsidRPr="00787EB4">
        <w:rPr>
          <w:rFonts w:ascii="Cambria" w:hAnsi="Cambria"/>
          <w:szCs w:val="24"/>
        </w:rPr>
        <w:tab/>
        <w:t>obnovitelné zdroje energie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PHM</w:t>
      </w:r>
      <w:r w:rsidRPr="00787EB4">
        <w:rPr>
          <w:rFonts w:ascii="Cambria" w:hAnsi="Cambria"/>
          <w:szCs w:val="24"/>
        </w:rPr>
        <w:tab/>
        <w:t>pohonné hmoty</w:t>
      </w:r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ind w:left="1418" w:hanging="1418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RED</w:t>
      </w:r>
      <w:r w:rsidRPr="00787EB4">
        <w:rPr>
          <w:rFonts w:ascii="Cambria" w:hAnsi="Cambria"/>
          <w:szCs w:val="24"/>
        </w:rPr>
        <w:tab/>
      </w:r>
      <w:proofErr w:type="spellStart"/>
      <w:r w:rsidRPr="00787EB4">
        <w:rPr>
          <w:rFonts w:ascii="Cambria" w:hAnsi="Cambria"/>
          <w:szCs w:val="24"/>
        </w:rPr>
        <w:t>Renewable</w:t>
      </w:r>
      <w:proofErr w:type="spellEnd"/>
      <w:r w:rsidRPr="00787EB4">
        <w:rPr>
          <w:rFonts w:ascii="Cambria" w:hAnsi="Cambria"/>
          <w:szCs w:val="24"/>
        </w:rPr>
        <w:t xml:space="preserve"> </w:t>
      </w:r>
      <w:proofErr w:type="spellStart"/>
      <w:r w:rsidRPr="00787EB4">
        <w:rPr>
          <w:rFonts w:ascii="Cambria" w:hAnsi="Cambria"/>
          <w:szCs w:val="24"/>
        </w:rPr>
        <w:t>Energy</w:t>
      </w:r>
      <w:proofErr w:type="spellEnd"/>
      <w:r w:rsidRPr="00787EB4">
        <w:rPr>
          <w:rFonts w:ascii="Cambria" w:hAnsi="Cambria"/>
          <w:szCs w:val="24"/>
        </w:rPr>
        <w:t xml:space="preserve"> </w:t>
      </w:r>
      <w:proofErr w:type="spellStart"/>
      <w:r w:rsidRPr="00787EB4">
        <w:rPr>
          <w:rFonts w:ascii="Cambria" w:hAnsi="Cambria"/>
          <w:szCs w:val="24"/>
        </w:rPr>
        <w:t>Directive</w:t>
      </w:r>
      <w:proofErr w:type="spellEnd"/>
    </w:p>
    <w:p w:rsidR="00CA788D" w:rsidRPr="00787EB4" w:rsidRDefault="00CA788D" w:rsidP="00C608BD">
      <w:pPr>
        <w:widowControl/>
        <w:tabs>
          <w:tab w:val="left" w:leader="dot" w:pos="1418"/>
        </w:tabs>
        <w:spacing w:after="20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TPSD</w:t>
      </w:r>
      <w:r w:rsidRPr="00787EB4">
        <w:rPr>
          <w:rFonts w:ascii="Cambria" w:hAnsi="Cambria"/>
          <w:szCs w:val="24"/>
        </w:rPr>
        <w:tab/>
        <w:t>Technologická platforma silniční doprava</w:t>
      </w:r>
    </w:p>
    <w:p w:rsidR="00CA788D" w:rsidRDefault="00CA788D" w:rsidP="00C608BD">
      <w:pPr>
        <w:widowControl/>
        <w:tabs>
          <w:tab w:val="left" w:leader="dot" w:pos="1418"/>
        </w:tabs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UCO</w:t>
      </w:r>
      <w:r w:rsidRPr="00787EB4">
        <w:rPr>
          <w:rFonts w:ascii="Cambria" w:hAnsi="Cambria"/>
          <w:szCs w:val="24"/>
        </w:rPr>
        <w:tab/>
        <w:t>upotřebené kuchyňské oleje</w:t>
      </w:r>
    </w:p>
    <w:p w:rsidR="00CA788D" w:rsidRPr="00787EB4" w:rsidRDefault="00CA788D" w:rsidP="00C608BD">
      <w:pPr>
        <w:widowControl/>
        <w:tabs>
          <w:tab w:val="left" w:leader="dot" w:pos="1418"/>
        </w:tabs>
        <w:rPr>
          <w:rFonts w:ascii="Cambria" w:hAnsi="Cambria"/>
          <w:szCs w:val="24"/>
        </w:rPr>
      </w:pPr>
      <w:bookmarkStart w:id="44" w:name="_GoBack"/>
      <w:bookmarkEnd w:id="44"/>
      <w:r w:rsidRPr="00787EB4">
        <w:rPr>
          <w:rFonts w:ascii="Cambria" w:hAnsi="Cambria"/>
          <w:szCs w:val="24"/>
        </w:rPr>
        <w:t>VŠCHT</w:t>
      </w:r>
      <w:r w:rsidRPr="00787EB4">
        <w:rPr>
          <w:rFonts w:ascii="Cambria" w:hAnsi="Cambria"/>
          <w:szCs w:val="24"/>
        </w:rPr>
        <w:tab/>
        <w:t>Vysoká škola chemicko</w:t>
      </w:r>
      <w:r w:rsidRPr="00787EB4">
        <w:rPr>
          <w:rFonts w:ascii="Cambria" w:hAnsi="Cambria"/>
          <w:szCs w:val="24"/>
        </w:rPr>
        <w:noBreakHyphen/>
        <w:t>technologická</w:t>
      </w:r>
    </w:p>
    <w:p w:rsidR="00CA788D" w:rsidRPr="00787EB4" w:rsidRDefault="00D26468" w:rsidP="002147D9">
      <w:pPr>
        <w:pStyle w:val="Nadpis2"/>
        <w:numPr>
          <w:ilvl w:val="0"/>
          <w:numId w:val="0"/>
        </w:numPr>
        <w:jc w:val="left"/>
        <w:rPr>
          <w:szCs w:val="28"/>
        </w:rPr>
      </w:pPr>
      <w:r>
        <w:rPr>
          <w:szCs w:val="24"/>
        </w:rPr>
        <w:br w:type="page"/>
      </w:r>
      <w:bookmarkStart w:id="45" w:name="_Toc526861147"/>
      <w:bookmarkStart w:id="46" w:name="_Toc5881019"/>
      <w:bookmarkStart w:id="47" w:name="_Toc5959551"/>
      <w:r w:rsidR="00CA788D" w:rsidRPr="00787EB4">
        <w:lastRenderedPageBreak/>
        <w:t>Seznam použité literatury</w:t>
      </w:r>
      <w:bookmarkEnd w:id="45"/>
      <w:bookmarkEnd w:id="46"/>
      <w:bookmarkEnd w:id="47"/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84" w:hanging="284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Směrnice Rady (EU) 2015/652 ze dne 20. 4. 2015, kterou se stanoví metody výpočtu a požadavky na podávání zpráv podle směrnice Evropského parlamentu a Rady (EU) 98/70/ES o jakosti a benzinu a motorové nafty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84" w:hanging="284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Směrnice Rady (EU) 2015/1513 ze dne 9. 9. 2015, kterou se mění směrnice 98/70/ES o jakosti benzinu a motorové nafty a podpoře využívání energie z obnovitelných zdrojů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84" w:hanging="284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Směrnice Evropského parlamentu a Rady 2014/94/EU ze dne 22. 10. 2014 o zavádění infrastruktury pro alternativní paliva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84" w:hanging="284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Směrnice Evropského parlamentu a Rady (EU)</w:t>
      </w:r>
      <w:r w:rsidR="00133A04">
        <w:rPr>
          <w:rFonts w:ascii="Cambria" w:hAnsi="Cambria"/>
          <w:szCs w:val="24"/>
        </w:rPr>
        <w:t xml:space="preserve"> </w:t>
      </w:r>
      <w:r w:rsidRPr="00787EB4">
        <w:rPr>
          <w:rFonts w:ascii="Cambria" w:hAnsi="Cambria"/>
          <w:szCs w:val="24"/>
        </w:rPr>
        <w:t>2018/2001</w:t>
      </w:r>
      <w:r w:rsidR="002147D9">
        <w:rPr>
          <w:rFonts w:ascii="Cambria" w:hAnsi="Cambria"/>
          <w:szCs w:val="24"/>
        </w:rPr>
        <w:t xml:space="preserve"> </w:t>
      </w:r>
      <w:r w:rsidRPr="00787EB4">
        <w:rPr>
          <w:rFonts w:ascii="Cambria" w:hAnsi="Cambria"/>
          <w:szCs w:val="24"/>
        </w:rPr>
        <w:t>(EU) ze dne 11.</w:t>
      </w:r>
      <w:r w:rsidR="002147D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12.</w:t>
      </w:r>
      <w:r w:rsidR="002147D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2018 o</w:t>
      </w:r>
      <w:r w:rsidR="002147D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 xml:space="preserve">podpoře využívání energie z obnovitelných zdrojů komise 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84" w:hanging="284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Zákon č.</w:t>
      </w:r>
      <w:r w:rsidR="002147D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172/2018</w:t>
      </w:r>
      <w:r w:rsidR="002147D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Sb., kterým se mění zákon č.</w:t>
      </w:r>
      <w:r w:rsidR="002147D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201/2012</w:t>
      </w:r>
      <w:r w:rsidR="002147D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Sb., o ochraně ovzduší, ve znění pozdějších předpisů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84" w:hanging="284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Nařízení vlády č.</w:t>
      </w:r>
      <w:r w:rsidR="002147D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189/2018</w:t>
      </w:r>
      <w:r w:rsidR="002147D9">
        <w:rPr>
          <w:rFonts w:ascii="Cambria" w:hAnsi="Cambria"/>
          <w:szCs w:val="24"/>
        </w:rPr>
        <w:t> </w:t>
      </w:r>
      <w:r w:rsidRPr="00787EB4">
        <w:rPr>
          <w:rFonts w:ascii="Cambria" w:hAnsi="Cambria"/>
          <w:szCs w:val="24"/>
        </w:rPr>
        <w:t>Sb., o krit</w:t>
      </w:r>
      <w:r w:rsidR="002147D9">
        <w:rPr>
          <w:rFonts w:ascii="Cambria" w:hAnsi="Cambria"/>
          <w:szCs w:val="24"/>
        </w:rPr>
        <w:t>é</w:t>
      </w:r>
      <w:r w:rsidRPr="00787EB4">
        <w:rPr>
          <w:rFonts w:ascii="Cambria" w:hAnsi="Cambria"/>
          <w:szCs w:val="24"/>
        </w:rPr>
        <w:t xml:space="preserve">riích udržitelnosti biopaliv a snižování emisí skleníkových plynů z pohonných hmot 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84" w:hanging="284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Sborník ČAPPO 25 let, 2017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84" w:hanging="284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Statistika trhu petrolejářských výrobků ČAPPO, 2017 a 2018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84" w:hanging="284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Technologické trendy v silniční dopravě, 1. etapa: Popis problémů současného stavu, oblast alternativní pohonné hmoty, ČAPPO, březen 2018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73" w:hanging="369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Technologické trendy v silniční dopravě, 2. etapa: Směry technologického vývoje, oblast alternativní pohonné hmoty, ČAPPO, srpen 2018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73" w:hanging="369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Technologické trendy v silniční dopravě, 3 etapa: Směry technologického vývoje – oblast alternativní pohonné hmoty pro silniční dopravu, říjen 2018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73" w:hanging="369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  <w:szCs w:val="24"/>
        </w:rPr>
        <w:t>Jak efektivně splnit cíle RED II v dopravě po roce 2020, ČAPPO, červen 2018</w:t>
      </w:r>
    </w:p>
    <w:p w:rsidR="00CA788D" w:rsidRPr="00787EB4" w:rsidRDefault="00FA7253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73" w:hanging="369"/>
        <w:jc w:val="left"/>
        <w:rPr>
          <w:rFonts w:ascii="Cambria" w:hAnsi="Cambria"/>
          <w:szCs w:val="24"/>
        </w:rPr>
      </w:pPr>
      <w:hyperlink r:id="rId9" w:history="1">
        <w:r w:rsidR="00CA788D" w:rsidRPr="00787EB4">
          <w:rPr>
            <w:rStyle w:val="Hypertextovodkaz"/>
            <w:rFonts w:ascii="Cambria" w:hAnsi="Cambria"/>
          </w:rPr>
          <w:t>Vyvinuli jsme metodu čištění bioplynu z bioplynových stanic a čistíren odpadních vod</w:t>
        </w:r>
      </w:hyperlink>
      <w:r w:rsidR="00CA788D" w:rsidRPr="00787EB4">
        <w:rPr>
          <w:rFonts w:ascii="Cambria" w:hAnsi="Cambria"/>
        </w:rPr>
        <w:t xml:space="preserve">, </w:t>
      </w:r>
      <w:r w:rsidR="00CA788D" w:rsidRPr="00787EB4">
        <w:rPr>
          <w:rFonts w:ascii="Cambria" w:hAnsi="Cambria"/>
        </w:rPr>
        <w:tab/>
        <w:t>článek na webu skupiny ČEZ, 2017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73" w:hanging="369"/>
        <w:jc w:val="left"/>
        <w:rPr>
          <w:rFonts w:ascii="Cambria" w:hAnsi="Cambria"/>
          <w:szCs w:val="24"/>
        </w:rPr>
      </w:pPr>
      <w:r w:rsidRPr="00787EB4">
        <w:rPr>
          <w:rFonts w:ascii="Cambria" w:hAnsi="Cambria"/>
        </w:rPr>
        <w:t>Odstraňování</w:t>
      </w:r>
      <w:r w:rsidRPr="00787EB4">
        <w:rPr>
          <w:rFonts w:ascii="Cambria" w:hAnsi="Cambria"/>
          <w:szCs w:val="24"/>
        </w:rPr>
        <w:t xml:space="preserve"> minoritních nečistot z bioplynu, K</w:t>
      </w:r>
      <w:r w:rsidR="002147D9">
        <w:rPr>
          <w:rFonts w:ascii="Cambria" w:hAnsi="Cambria"/>
          <w:szCs w:val="24"/>
        </w:rPr>
        <w:t>arel</w:t>
      </w:r>
      <w:r w:rsidRPr="00787EB4">
        <w:rPr>
          <w:rFonts w:ascii="Cambria" w:hAnsi="Cambria"/>
          <w:szCs w:val="24"/>
        </w:rPr>
        <w:t> </w:t>
      </w:r>
      <w:proofErr w:type="spellStart"/>
      <w:r w:rsidRPr="00787EB4">
        <w:rPr>
          <w:rFonts w:ascii="Cambria" w:hAnsi="Cambria"/>
          <w:szCs w:val="24"/>
        </w:rPr>
        <w:t>Ciahotný</w:t>
      </w:r>
      <w:proofErr w:type="spellEnd"/>
      <w:r w:rsidRPr="00787EB4">
        <w:rPr>
          <w:rFonts w:ascii="Cambria" w:hAnsi="Cambria"/>
          <w:szCs w:val="24"/>
        </w:rPr>
        <w:t>, VŠCHT Praha, 2010</w:t>
      </w:r>
    </w:p>
    <w:p w:rsidR="00CA788D" w:rsidRPr="00787EB4" w:rsidRDefault="00FA7253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73" w:hanging="369"/>
        <w:jc w:val="left"/>
        <w:rPr>
          <w:rStyle w:val="Siln"/>
          <w:rFonts w:ascii="Cambria" w:hAnsi="Cambria"/>
          <w:b w:val="0"/>
          <w:szCs w:val="24"/>
        </w:rPr>
      </w:pPr>
      <w:hyperlink r:id="rId10" w:history="1">
        <w:r w:rsidR="00CA788D" w:rsidRPr="00787EB4">
          <w:rPr>
            <w:rStyle w:val="Hypertextovodkaz"/>
            <w:rFonts w:ascii="Cambria" w:hAnsi="Cambria"/>
          </w:rPr>
          <w:t>Vědecký objev slibuje revoluci v solární energetice pomocí fotosyntézy</w:t>
        </w:r>
      </w:hyperlink>
      <w:r w:rsidR="00CA788D" w:rsidRPr="00787EB4">
        <w:rPr>
          <w:rStyle w:val="Siln"/>
          <w:rFonts w:ascii="Cambria" w:hAnsi="Cambria"/>
          <w:b w:val="0"/>
        </w:rPr>
        <w:t>, Obnovitelně.cz, 23. 9. 2018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73" w:hanging="369"/>
        <w:jc w:val="left"/>
        <w:rPr>
          <w:rStyle w:val="Siln"/>
          <w:rFonts w:ascii="Cambria" w:hAnsi="Cambria"/>
          <w:b w:val="0"/>
          <w:szCs w:val="24"/>
        </w:rPr>
      </w:pPr>
      <w:r w:rsidRPr="00787EB4">
        <w:rPr>
          <w:rStyle w:val="Siln"/>
          <w:rFonts w:ascii="Cambria" w:hAnsi="Cambria"/>
          <w:b w:val="0"/>
        </w:rPr>
        <w:t xml:space="preserve">Rostlinné oleje – spotřebitelská sonda, Masarykova univerzita v Brně, Bakalářská práce Jarmila </w:t>
      </w:r>
      <w:proofErr w:type="spellStart"/>
      <w:r w:rsidRPr="00787EB4">
        <w:rPr>
          <w:rStyle w:val="Siln"/>
          <w:rFonts w:ascii="Cambria" w:hAnsi="Cambria"/>
          <w:b w:val="0"/>
        </w:rPr>
        <w:t>Hamerstová</w:t>
      </w:r>
      <w:proofErr w:type="spellEnd"/>
      <w:r w:rsidRPr="00787EB4">
        <w:rPr>
          <w:rStyle w:val="Siln"/>
          <w:rFonts w:ascii="Cambria" w:hAnsi="Cambria"/>
          <w:b w:val="0"/>
        </w:rPr>
        <w:t xml:space="preserve">, květen 2011 </w:t>
      </w:r>
    </w:p>
    <w:p w:rsidR="00CA788D" w:rsidRPr="00787EB4" w:rsidRDefault="00CA788D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73" w:hanging="369"/>
        <w:jc w:val="left"/>
        <w:rPr>
          <w:rStyle w:val="Siln"/>
          <w:rFonts w:ascii="Cambria" w:hAnsi="Cambria"/>
          <w:b w:val="0"/>
          <w:szCs w:val="24"/>
        </w:rPr>
      </w:pPr>
      <w:r w:rsidRPr="00787EB4">
        <w:rPr>
          <w:rStyle w:val="Siln"/>
          <w:rFonts w:ascii="Cambria" w:hAnsi="Cambria"/>
          <w:b w:val="0"/>
        </w:rPr>
        <w:t xml:space="preserve">Některé aspekty hydrogenace rostlinných olejů, ČAPPO, </w:t>
      </w:r>
      <w:r w:rsidR="002147D9" w:rsidRPr="00787EB4">
        <w:rPr>
          <w:rStyle w:val="Siln"/>
          <w:rFonts w:ascii="Cambria" w:hAnsi="Cambria"/>
          <w:b w:val="0"/>
        </w:rPr>
        <w:t>M</w:t>
      </w:r>
      <w:r w:rsidR="002147D9">
        <w:rPr>
          <w:rStyle w:val="Siln"/>
          <w:rFonts w:ascii="Cambria" w:hAnsi="Cambria"/>
          <w:b w:val="0"/>
        </w:rPr>
        <w:t xml:space="preserve">ilan </w:t>
      </w:r>
      <w:r w:rsidR="002147D9" w:rsidRPr="00787EB4">
        <w:rPr>
          <w:rStyle w:val="Siln"/>
          <w:rFonts w:ascii="Cambria" w:hAnsi="Cambria"/>
          <w:b w:val="0"/>
        </w:rPr>
        <w:t>Vitvar</w:t>
      </w:r>
      <w:r w:rsidR="002147D9">
        <w:rPr>
          <w:rStyle w:val="Siln"/>
          <w:rFonts w:ascii="Cambria" w:hAnsi="Cambria"/>
          <w:b w:val="0"/>
        </w:rPr>
        <w:t xml:space="preserve">, Jiří </w:t>
      </w:r>
      <w:proofErr w:type="spellStart"/>
      <w:r w:rsidR="002147D9" w:rsidRPr="00787EB4">
        <w:rPr>
          <w:rStyle w:val="Siln"/>
          <w:rFonts w:ascii="Cambria" w:hAnsi="Cambria"/>
          <w:b w:val="0"/>
        </w:rPr>
        <w:t>Plitz</w:t>
      </w:r>
      <w:proofErr w:type="spellEnd"/>
      <w:r w:rsidR="002147D9" w:rsidRPr="00787EB4">
        <w:rPr>
          <w:rStyle w:val="Siln"/>
          <w:rFonts w:ascii="Cambria" w:hAnsi="Cambria"/>
          <w:b w:val="0"/>
        </w:rPr>
        <w:t xml:space="preserve"> </w:t>
      </w:r>
      <w:r w:rsidR="002147D9">
        <w:rPr>
          <w:rStyle w:val="Siln"/>
          <w:rFonts w:ascii="Cambria" w:hAnsi="Cambria"/>
          <w:b w:val="0"/>
        </w:rPr>
        <w:t xml:space="preserve">aj., </w:t>
      </w:r>
      <w:r w:rsidRPr="00787EB4">
        <w:rPr>
          <w:rStyle w:val="Siln"/>
          <w:rFonts w:ascii="Cambria" w:hAnsi="Cambria"/>
          <w:b w:val="0"/>
        </w:rPr>
        <w:t>06/2014</w:t>
      </w:r>
    </w:p>
    <w:p w:rsidR="00CA788D" w:rsidRPr="00787EB4" w:rsidRDefault="00D72B7B" w:rsidP="002147D9">
      <w:pPr>
        <w:pStyle w:val="Odstavecseseznamem"/>
        <w:widowControl/>
        <w:numPr>
          <w:ilvl w:val="1"/>
          <w:numId w:val="5"/>
        </w:numPr>
        <w:tabs>
          <w:tab w:val="left" w:pos="284"/>
        </w:tabs>
        <w:spacing w:after="60"/>
        <w:ind w:left="273" w:hanging="369"/>
        <w:jc w:val="left"/>
        <w:rPr>
          <w:rStyle w:val="Siln"/>
          <w:rFonts w:ascii="Cambria" w:hAnsi="Cambria"/>
          <w:b w:val="0"/>
          <w:szCs w:val="24"/>
        </w:rPr>
      </w:pPr>
      <w:r>
        <w:rPr>
          <w:rStyle w:val="Siln"/>
          <w:rFonts w:ascii="Cambria" w:hAnsi="Cambria"/>
          <w:b w:val="0"/>
        </w:rPr>
        <w:t>„</w:t>
      </w:r>
      <w:proofErr w:type="spellStart"/>
      <w:r w:rsidR="002147D9" w:rsidRPr="00787EB4">
        <w:rPr>
          <w:rStyle w:val="Siln"/>
          <w:rFonts w:ascii="Cambria" w:hAnsi="Cambria"/>
          <w:b w:val="0"/>
        </w:rPr>
        <w:t>Spoluspalování</w:t>
      </w:r>
      <w:proofErr w:type="spellEnd"/>
      <w:r>
        <w:rPr>
          <w:rStyle w:val="Siln"/>
          <w:rFonts w:ascii="Cambria" w:hAnsi="Cambria"/>
          <w:b w:val="0"/>
        </w:rPr>
        <w:t>“</w:t>
      </w:r>
      <w:r w:rsidR="002147D9" w:rsidRPr="00787EB4">
        <w:rPr>
          <w:rStyle w:val="Siln"/>
          <w:rFonts w:ascii="Cambria" w:hAnsi="Cambria"/>
          <w:b w:val="0"/>
        </w:rPr>
        <w:t xml:space="preserve"> vody je nové, ale technologicky zvládnuté,</w:t>
      </w:r>
      <w:r w:rsidR="002147D9">
        <w:rPr>
          <w:rStyle w:val="Siln"/>
          <w:rFonts w:ascii="Cambria" w:hAnsi="Cambria"/>
          <w:b w:val="0"/>
        </w:rPr>
        <w:t xml:space="preserve"> </w:t>
      </w:r>
      <w:r w:rsidR="002147D9" w:rsidRPr="00787EB4">
        <w:rPr>
          <w:rStyle w:val="Siln"/>
          <w:rFonts w:ascii="Cambria" w:hAnsi="Cambria"/>
          <w:b w:val="0"/>
        </w:rPr>
        <w:t>s. 64</w:t>
      </w:r>
      <w:r w:rsidR="002147D9">
        <w:rPr>
          <w:rStyle w:val="Siln"/>
          <w:rFonts w:ascii="Cambria" w:hAnsi="Cambria"/>
          <w:b w:val="0"/>
        </w:rPr>
        <w:t xml:space="preserve">, </w:t>
      </w:r>
      <w:r w:rsidR="002147D9" w:rsidRPr="00787EB4">
        <w:rPr>
          <w:rStyle w:val="Siln"/>
          <w:rFonts w:ascii="Cambria" w:hAnsi="Cambria"/>
          <w:b w:val="0"/>
        </w:rPr>
        <w:t>R</w:t>
      </w:r>
      <w:r>
        <w:rPr>
          <w:rStyle w:val="Siln"/>
          <w:rFonts w:ascii="Cambria" w:hAnsi="Cambria"/>
          <w:b w:val="0"/>
        </w:rPr>
        <w:t>adovan</w:t>
      </w:r>
      <w:r w:rsidR="002147D9">
        <w:rPr>
          <w:rStyle w:val="Siln"/>
          <w:rFonts w:ascii="Cambria" w:hAnsi="Cambria"/>
          <w:b w:val="0"/>
        </w:rPr>
        <w:t xml:space="preserve"> </w:t>
      </w:r>
      <w:r w:rsidR="002147D9" w:rsidRPr="00787EB4">
        <w:rPr>
          <w:rStyle w:val="Siln"/>
          <w:rFonts w:ascii="Cambria" w:hAnsi="Cambria"/>
          <w:b w:val="0"/>
        </w:rPr>
        <w:t xml:space="preserve">Šejvl, </w:t>
      </w:r>
      <w:r w:rsidR="003550DC">
        <w:rPr>
          <w:rStyle w:val="Siln"/>
          <w:rFonts w:ascii="Cambria" w:hAnsi="Cambria"/>
          <w:b w:val="0"/>
        </w:rPr>
        <w:br/>
      </w:r>
      <w:r w:rsidR="003550DC" w:rsidRPr="00787EB4">
        <w:rPr>
          <w:rStyle w:val="Siln"/>
          <w:rFonts w:ascii="Cambria" w:hAnsi="Cambria"/>
          <w:b w:val="0"/>
        </w:rPr>
        <w:t>PRO</w:t>
      </w:r>
      <w:r w:rsidR="003550DC">
        <w:rPr>
          <w:rStyle w:val="Siln"/>
          <w:rFonts w:ascii="Cambria" w:hAnsi="Cambria"/>
          <w:b w:val="0"/>
        </w:rPr>
        <w:t>–ENERGY</w:t>
      </w:r>
      <w:r w:rsidR="00CA788D" w:rsidRPr="00787EB4">
        <w:rPr>
          <w:rStyle w:val="Siln"/>
          <w:rFonts w:ascii="Cambria" w:hAnsi="Cambria"/>
          <w:b w:val="0"/>
        </w:rPr>
        <w:t xml:space="preserve"> </w:t>
      </w:r>
      <w:r w:rsidR="002147D9">
        <w:rPr>
          <w:rStyle w:val="Siln"/>
          <w:rFonts w:ascii="Cambria" w:hAnsi="Cambria"/>
          <w:b w:val="0"/>
        </w:rPr>
        <w:t>magazín,</w:t>
      </w:r>
      <w:r w:rsidR="00CA788D" w:rsidRPr="00787EB4">
        <w:rPr>
          <w:rStyle w:val="Siln"/>
          <w:rFonts w:ascii="Cambria" w:hAnsi="Cambria"/>
          <w:b w:val="0"/>
        </w:rPr>
        <w:t xml:space="preserve"> 1/2019</w:t>
      </w:r>
    </w:p>
    <w:p w:rsidR="00CA788D" w:rsidRPr="00787EB4" w:rsidRDefault="00CA788D" w:rsidP="002147D9">
      <w:pPr>
        <w:pStyle w:val="Odstavecseseznamem"/>
        <w:widowControl/>
        <w:tabs>
          <w:tab w:val="left" w:pos="284"/>
        </w:tabs>
        <w:spacing w:after="60"/>
        <w:jc w:val="left"/>
        <w:rPr>
          <w:rStyle w:val="Siln"/>
          <w:rFonts w:ascii="Cambria" w:hAnsi="Cambria"/>
          <w:b w:val="0"/>
        </w:rPr>
      </w:pPr>
    </w:p>
    <w:p w:rsidR="00CA788D" w:rsidRPr="00787EB4" w:rsidRDefault="00CA788D" w:rsidP="002147D9">
      <w:pPr>
        <w:pStyle w:val="Odstavecseseznamem"/>
        <w:widowControl/>
        <w:tabs>
          <w:tab w:val="left" w:pos="284"/>
        </w:tabs>
        <w:spacing w:after="60"/>
        <w:jc w:val="left"/>
        <w:rPr>
          <w:rFonts w:ascii="Cambria" w:hAnsi="Cambria"/>
          <w:szCs w:val="24"/>
        </w:rPr>
      </w:pPr>
    </w:p>
    <w:p w:rsidR="00CA788D" w:rsidRPr="00787EB4" w:rsidRDefault="00CA788D" w:rsidP="002147D9">
      <w:pPr>
        <w:pStyle w:val="Odstavecseseznamem"/>
        <w:widowControl/>
        <w:tabs>
          <w:tab w:val="left" w:pos="284"/>
        </w:tabs>
        <w:spacing w:after="60"/>
        <w:ind w:left="0"/>
        <w:jc w:val="left"/>
        <w:rPr>
          <w:rFonts w:ascii="Cambria" w:hAnsi="Cambria"/>
          <w:szCs w:val="24"/>
        </w:rPr>
      </w:pPr>
    </w:p>
    <w:p w:rsidR="00CA788D" w:rsidRPr="00787EB4" w:rsidRDefault="00CA788D" w:rsidP="002147D9">
      <w:pPr>
        <w:pStyle w:val="Odstavecseseznamem"/>
        <w:widowControl/>
        <w:tabs>
          <w:tab w:val="left" w:pos="284"/>
        </w:tabs>
        <w:spacing w:after="60"/>
        <w:ind w:left="0"/>
        <w:jc w:val="left"/>
        <w:rPr>
          <w:rFonts w:ascii="Cambria" w:hAnsi="Cambria"/>
          <w:szCs w:val="24"/>
        </w:rPr>
      </w:pPr>
    </w:p>
    <w:p w:rsidR="00CA788D" w:rsidRPr="00787EB4" w:rsidRDefault="00CA788D" w:rsidP="002147D9">
      <w:pPr>
        <w:pStyle w:val="Odstavecseseznamem"/>
        <w:widowControl/>
        <w:tabs>
          <w:tab w:val="left" w:pos="284"/>
        </w:tabs>
        <w:spacing w:after="60"/>
        <w:ind w:left="0"/>
        <w:jc w:val="left"/>
        <w:rPr>
          <w:rFonts w:ascii="Cambria" w:hAnsi="Cambria"/>
          <w:szCs w:val="24"/>
        </w:rPr>
      </w:pPr>
    </w:p>
    <w:p w:rsidR="00CA788D" w:rsidRPr="00787EB4" w:rsidRDefault="00CA788D" w:rsidP="002147D9">
      <w:pPr>
        <w:pStyle w:val="Odstavecseseznamem"/>
        <w:widowControl/>
        <w:tabs>
          <w:tab w:val="left" w:pos="284"/>
        </w:tabs>
        <w:spacing w:after="60"/>
        <w:ind w:left="0"/>
        <w:jc w:val="left"/>
        <w:rPr>
          <w:rFonts w:ascii="Cambria" w:hAnsi="Cambria"/>
          <w:szCs w:val="24"/>
        </w:rPr>
      </w:pPr>
    </w:p>
    <w:p w:rsidR="00CA788D" w:rsidRPr="00787EB4" w:rsidRDefault="00CA788D" w:rsidP="002147D9">
      <w:pPr>
        <w:pStyle w:val="Odstavecseseznamem"/>
        <w:widowControl/>
        <w:tabs>
          <w:tab w:val="left" w:pos="284"/>
        </w:tabs>
        <w:spacing w:after="60"/>
        <w:ind w:left="0"/>
        <w:jc w:val="left"/>
        <w:rPr>
          <w:rFonts w:ascii="Cambria" w:hAnsi="Cambria"/>
          <w:szCs w:val="24"/>
        </w:rPr>
      </w:pPr>
    </w:p>
    <w:p w:rsidR="00CA788D" w:rsidRPr="00787EB4" w:rsidRDefault="00CA788D" w:rsidP="002147D9">
      <w:pPr>
        <w:pStyle w:val="Odstavecseseznamem"/>
        <w:widowControl/>
        <w:tabs>
          <w:tab w:val="left" w:pos="284"/>
        </w:tabs>
        <w:spacing w:after="60"/>
        <w:ind w:left="0"/>
        <w:jc w:val="left"/>
        <w:rPr>
          <w:rFonts w:ascii="Cambria" w:hAnsi="Cambria"/>
          <w:szCs w:val="24"/>
        </w:rPr>
      </w:pPr>
    </w:p>
    <w:p w:rsidR="00CA788D" w:rsidRPr="00787EB4" w:rsidRDefault="00CA788D" w:rsidP="00B61A9C">
      <w:pPr>
        <w:pStyle w:val="Odstavecseseznamem"/>
        <w:widowControl/>
        <w:tabs>
          <w:tab w:val="left" w:pos="284"/>
        </w:tabs>
        <w:spacing w:after="60"/>
        <w:ind w:left="0"/>
        <w:jc w:val="left"/>
        <w:rPr>
          <w:rFonts w:ascii="Cambria" w:hAnsi="Cambria"/>
          <w:szCs w:val="24"/>
        </w:rPr>
      </w:pPr>
    </w:p>
    <w:p w:rsidR="00CA788D" w:rsidRPr="00787EB4" w:rsidRDefault="00CA788D" w:rsidP="00B61A9C">
      <w:pPr>
        <w:pStyle w:val="Odstavecseseznamem"/>
        <w:widowControl/>
        <w:tabs>
          <w:tab w:val="left" w:pos="284"/>
        </w:tabs>
        <w:spacing w:after="60"/>
        <w:ind w:left="0"/>
        <w:jc w:val="left"/>
        <w:rPr>
          <w:rFonts w:ascii="Cambria" w:hAnsi="Cambria"/>
          <w:szCs w:val="24"/>
        </w:rPr>
      </w:pPr>
    </w:p>
    <w:p w:rsidR="00CA788D" w:rsidRPr="00787EB4" w:rsidRDefault="00CA788D" w:rsidP="00B61A9C">
      <w:pPr>
        <w:pStyle w:val="Odstavecseseznamem"/>
        <w:widowControl/>
        <w:tabs>
          <w:tab w:val="left" w:pos="284"/>
        </w:tabs>
        <w:spacing w:after="60"/>
        <w:ind w:left="0"/>
        <w:jc w:val="left"/>
        <w:rPr>
          <w:rFonts w:ascii="Cambria" w:hAnsi="Cambria"/>
          <w:szCs w:val="24"/>
        </w:rPr>
      </w:pPr>
    </w:p>
    <w:sectPr w:rsidR="00CA788D" w:rsidRPr="00787EB4" w:rsidSect="008D258E"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253" w:rsidRDefault="00FA7253" w:rsidP="00B86DAB">
      <w:r>
        <w:separator/>
      </w:r>
    </w:p>
  </w:endnote>
  <w:endnote w:type="continuationSeparator" w:id="0">
    <w:p w:rsidR="00FA7253" w:rsidRDefault="00FA7253" w:rsidP="00B8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60" w:rsidRDefault="008D5D60" w:rsidP="00565E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5D60" w:rsidRDefault="008D5D60" w:rsidP="008754F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60" w:rsidRPr="00787EB4" w:rsidRDefault="008D5D60">
    <w:pPr>
      <w:pStyle w:val="Zpat"/>
      <w:jc w:val="center"/>
      <w:rPr>
        <w:rFonts w:ascii="Cambria" w:hAnsi="Cambria"/>
        <w:sz w:val="26"/>
        <w:szCs w:val="26"/>
      </w:rPr>
    </w:pPr>
    <w:r w:rsidRPr="00787EB4">
      <w:rPr>
        <w:rFonts w:ascii="Cambria" w:hAnsi="Cambria"/>
        <w:sz w:val="26"/>
        <w:szCs w:val="26"/>
      </w:rPr>
      <w:fldChar w:fldCharType="begin"/>
    </w:r>
    <w:r w:rsidRPr="00787EB4">
      <w:rPr>
        <w:rFonts w:ascii="Cambria" w:hAnsi="Cambria"/>
        <w:sz w:val="26"/>
        <w:szCs w:val="26"/>
      </w:rPr>
      <w:instrText>PAGE   \* MERGEFORMAT</w:instrText>
    </w:r>
    <w:r w:rsidRPr="00787EB4">
      <w:rPr>
        <w:rFonts w:ascii="Cambria" w:hAnsi="Cambria"/>
        <w:sz w:val="26"/>
        <w:szCs w:val="26"/>
      </w:rPr>
      <w:fldChar w:fldCharType="separate"/>
    </w:r>
    <w:r w:rsidRPr="00787EB4">
      <w:rPr>
        <w:rFonts w:ascii="Cambria" w:hAnsi="Cambria"/>
        <w:noProof/>
        <w:sz w:val="26"/>
        <w:szCs w:val="26"/>
      </w:rPr>
      <w:t>19</w:t>
    </w:r>
    <w:r w:rsidRPr="00787EB4">
      <w:rPr>
        <w:rFonts w:ascii="Cambria" w:hAnsi="Cambria"/>
        <w:sz w:val="26"/>
        <w:szCs w:val="26"/>
      </w:rPr>
      <w:fldChar w:fldCharType="end"/>
    </w:r>
  </w:p>
  <w:p w:rsidR="008D5D60" w:rsidRDefault="008D5D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253" w:rsidRDefault="00FA7253" w:rsidP="00B86DAB">
      <w:r>
        <w:separator/>
      </w:r>
    </w:p>
  </w:footnote>
  <w:footnote w:type="continuationSeparator" w:id="0">
    <w:p w:rsidR="00FA7253" w:rsidRDefault="00FA7253" w:rsidP="00B8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60" w:rsidRPr="009F2654" w:rsidRDefault="00DE4E0A" w:rsidP="005B182C">
    <w:pPr>
      <w:pStyle w:val="Zhlav"/>
      <w:spacing w:after="240"/>
    </w:pPr>
    <w:bookmarkStart w:id="48" w:name="_Hlk520290375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162.35pt;height:49.75pt;visibility:visible">
          <v:imagedata r:id="rId1" o:title=""/>
        </v:shape>
      </w:pict>
    </w:r>
    <w:bookmarkEnd w:id="48"/>
    <w:r w:rsidR="008D5D60">
      <w:rPr>
        <w:noProof/>
      </w:rPr>
      <w:t xml:space="preserve">      </w:t>
    </w:r>
    <w:r>
      <w:rPr>
        <w:noProof/>
      </w:rPr>
      <w:pict>
        <v:shape id="Obrázek 6" o:spid="_x0000_i1026" type="#_x0000_t75" style="width:89.65pt;height:47.8pt;visibility:visible">
          <v:imagedata r:id="rId2" o:title=""/>
        </v:shape>
      </w:pict>
    </w:r>
    <w:r w:rsidR="008D5D60">
      <w:t xml:space="preserve">    </w:t>
    </w:r>
    <w:r w:rsidR="008D5D60">
      <w:rPr>
        <w:noProof/>
      </w:rPr>
      <w:t xml:space="preserve">                </w:t>
    </w:r>
    <w:r>
      <w:rPr>
        <w:noProof/>
      </w:rPr>
      <w:pict>
        <v:shape id="Obrázek 10" o:spid="_x0000_i1027" type="#_x0000_t75" style="width:55pt;height:55pt;visibility:visible">
          <v:imagedata r:id="rId3" o:title=""/>
        </v:shape>
      </w:pict>
    </w:r>
    <w:r w:rsidR="008D5D60"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60" w:rsidRDefault="00FA7253" w:rsidP="00657453">
    <w:pPr>
      <w:pStyle w:val="Zhlav"/>
      <w:tabs>
        <w:tab w:val="clear" w:pos="4536"/>
        <w:tab w:val="left" w:pos="3544"/>
        <w:tab w:val="left" w:pos="6521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63pt;height:50.4pt;mso-position-horizontal-relative:char;mso-position-vertical-relative:line">
          <v:imagedata r:id="rId1" o:title=""/>
        </v:shape>
      </w:pict>
    </w:r>
    <w:r w:rsidR="008D5D60">
      <w:tab/>
    </w:r>
    <w:r>
      <w:rPr>
        <w:noProof/>
      </w:rPr>
      <w:pict>
        <v:shape id="_x0000_i1029" type="#_x0000_t75" style="width:90.35pt;height:47.8pt;visibility:visible">
          <v:imagedata r:id="rId2" o:title=""/>
        </v:shape>
      </w:pict>
    </w:r>
    <w:r w:rsidR="008D5D60">
      <w:rPr>
        <w:noProof/>
      </w:rPr>
      <w:tab/>
    </w:r>
    <w:r>
      <w:rPr>
        <w:noProof/>
      </w:rPr>
      <w:pict>
        <v:shape id="_x0000_i1030" type="#_x0000_t75" style="width:55pt;height:55pt;visibility:visible">
          <v:imagedata r:id="rId3" o:title=""/>
        </v:shape>
      </w:pict>
    </w:r>
  </w:p>
  <w:p w:rsidR="008D5D60" w:rsidRPr="00810E7E" w:rsidRDefault="008D5D60" w:rsidP="00810E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5F7"/>
    <w:multiLevelType w:val="hybridMultilevel"/>
    <w:tmpl w:val="748EC984"/>
    <w:lvl w:ilvl="0" w:tplc="A0765C3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3E8"/>
    <w:multiLevelType w:val="hybridMultilevel"/>
    <w:tmpl w:val="CD9EE5AE"/>
    <w:lvl w:ilvl="0" w:tplc="A332321C">
      <w:start w:val="1"/>
      <w:numFmt w:val="decimal"/>
      <w:lvlText w:val="1.5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08CA"/>
    <w:multiLevelType w:val="hybridMultilevel"/>
    <w:tmpl w:val="A168B8BA"/>
    <w:lvl w:ilvl="0" w:tplc="C8D8AFB4">
      <w:start w:val="1"/>
      <w:numFmt w:val="decimal"/>
      <w:pStyle w:val="1541"/>
      <w:lvlText w:val="1.5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2AE8"/>
    <w:multiLevelType w:val="hybridMultilevel"/>
    <w:tmpl w:val="6A72333A"/>
    <w:lvl w:ilvl="0" w:tplc="040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81307B5A">
      <w:start w:val="1"/>
      <w:numFmt w:val="bullet"/>
      <w:lvlText w:val=""/>
      <w:lvlJc w:val="left"/>
      <w:pPr>
        <w:ind w:left="2863" w:hanging="360"/>
      </w:pPr>
      <w:rPr>
        <w:rFonts w:ascii="Symbol" w:hAnsi="Symbol" w:hint="default"/>
        <w:color w:val="000000"/>
      </w:rPr>
    </w:lvl>
    <w:lvl w:ilvl="2" w:tplc="EBEA209E">
      <w:start w:val="3"/>
      <w:numFmt w:val="bullet"/>
      <w:lvlText w:val=""/>
      <w:lvlJc w:val="left"/>
      <w:pPr>
        <w:tabs>
          <w:tab w:val="num" w:pos="3763"/>
        </w:tabs>
        <w:ind w:left="3763" w:hanging="360"/>
      </w:pPr>
      <w:rPr>
        <w:rFonts w:ascii="Wingdings" w:eastAsia="Times New Roman" w:hAnsi="Wingdings" w:hint="default"/>
      </w:rPr>
    </w:lvl>
    <w:lvl w:ilvl="3" w:tplc="F5648724">
      <w:start w:val="2"/>
      <w:numFmt w:val="decimal"/>
      <w:lvlText w:val="%4."/>
      <w:lvlJc w:val="left"/>
      <w:pPr>
        <w:tabs>
          <w:tab w:val="num" w:pos="4303"/>
        </w:tabs>
        <w:ind w:left="4303" w:hanging="360"/>
      </w:pPr>
      <w:rPr>
        <w:rFonts w:cs="Times New Roman" w:hint="default"/>
      </w:rPr>
    </w:lvl>
    <w:lvl w:ilvl="4" w:tplc="7F46061A">
      <w:start w:val="1"/>
      <w:numFmt w:val="lowerLetter"/>
      <w:lvlText w:val="%5)"/>
      <w:lvlJc w:val="left"/>
      <w:pPr>
        <w:ind w:left="5023" w:hanging="36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57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3" w:hanging="180"/>
      </w:pPr>
      <w:rPr>
        <w:rFonts w:cs="Times New Roman"/>
      </w:rPr>
    </w:lvl>
  </w:abstractNum>
  <w:abstractNum w:abstractNumId="4" w15:restartNumberingAfterBreak="0">
    <w:nsid w:val="08F848C9"/>
    <w:multiLevelType w:val="hybridMultilevel"/>
    <w:tmpl w:val="0FDA8588"/>
    <w:lvl w:ilvl="0" w:tplc="2214B2E8">
      <w:start w:val="1"/>
      <w:numFmt w:val="decimal"/>
      <w:pStyle w:val="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6926"/>
    <w:multiLevelType w:val="hybridMultilevel"/>
    <w:tmpl w:val="48DEDED4"/>
    <w:lvl w:ilvl="0" w:tplc="FBEC2F7A">
      <w:start w:val="1"/>
      <w:numFmt w:val="decimal"/>
      <w:pStyle w:val="Nadpis4"/>
      <w:lvlText w:val="1.4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B4FCB"/>
    <w:multiLevelType w:val="hybridMultilevel"/>
    <w:tmpl w:val="8A4856CA"/>
    <w:lvl w:ilvl="0" w:tplc="0C1E56EC">
      <w:start w:val="1"/>
      <w:numFmt w:val="decimal"/>
      <w:pStyle w:val="151Nadpis3"/>
      <w:lvlText w:val="1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57E7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4AB50F2"/>
    <w:multiLevelType w:val="hybridMultilevel"/>
    <w:tmpl w:val="318E8240"/>
    <w:lvl w:ilvl="0" w:tplc="CEECE54A">
      <w:start w:val="1"/>
      <w:numFmt w:val="decimal"/>
      <w:lvlText w:val="1.5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1F78"/>
    <w:multiLevelType w:val="hybridMultilevel"/>
    <w:tmpl w:val="38407E2A"/>
    <w:lvl w:ilvl="0" w:tplc="6FD80B0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20DA"/>
    <w:multiLevelType w:val="hybridMultilevel"/>
    <w:tmpl w:val="B5004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C2719"/>
    <w:multiLevelType w:val="hybridMultilevel"/>
    <w:tmpl w:val="6558790A"/>
    <w:lvl w:ilvl="0" w:tplc="33D83152">
      <w:start w:val="1"/>
      <w:numFmt w:val="decimal"/>
      <w:pStyle w:val="Nadpis1"/>
      <w:lvlText w:val="%1."/>
      <w:lvlJc w:val="left"/>
      <w:pPr>
        <w:ind w:left="47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5E5519"/>
    <w:multiLevelType w:val="hybridMultilevel"/>
    <w:tmpl w:val="B6C8B710"/>
    <w:lvl w:ilvl="0" w:tplc="545CB9C0">
      <w:start w:val="1"/>
      <w:numFmt w:val="decimal"/>
      <w:pStyle w:val="1531"/>
      <w:lvlText w:val="1.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04F33"/>
    <w:multiLevelType w:val="hybridMultilevel"/>
    <w:tmpl w:val="E4B23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D012CE"/>
    <w:multiLevelType w:val="hybridMultilevel"/>
    <w:tmpl w:val="9F1435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2A2249"/>
    <w:multiLevelType w:val="hybridMultilevel"/>
    <w:tmpl w:val="97D65958"/>
    <w:lvl w:ilvl="0" w:tplc="DCECEEBE">
      <w:start w:val="1"/>
      <w:numFmt w:val="decimal"/>
      <w:lvlText w:val="1.5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A48A0"/>
    <w:multiLevelType w:val="hybridMultilevel"/>
    <w:tmpl w:val="1CCAD78A"/>
    <w:lvl w:ilvl="0" w:tplc="2AE62D7A">
      <w:start w:val="1"/>
      <w:numFmt w:val="decimal"/>
      <w:pStyle w:val="Nadpis3"/>
      <w:lvlText w:val="1.4.%1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25F13"/>
    <w:multiLevelType w:val="hybridMultilevel"/>
    <w:tmpl w:val="3DD44612"/>
    <w:lvl w:ilvl="0" w:tplc="75EE8CEA">
      <w:start w:val="1"/>
      <w:numFmt w:val="decimal"/>
      <w:lvlText w:val="1.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E4EB8"/>
    <w:multiLevelType w:val="hybridMultilevel"/>
    <w:tmpl w:val="B800513C"/>
    <w:lvl w:ilvl="0" w:tplc="243C8F58">
      <w:start w:val="1"/>
      <w:numFmt w:val="decimal"/>
      <w:pStyle w:val="Nadpisobsahu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277F26"/>
    <w:multiLevelType w:val="hybridMultilevel"/>
    <w:tmpl w:val="5D18C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336E5"/>
    <w:multiLevelType w:val="hybridMultilevel"/>
    <w:tmpl w:val="C4742DD4"/>
    <w:lvl w:ilvl="0" w:tplc="2B94157C">
      <w:start w:val="1"/>
      <w:numFmt w:val="decimal"/>
      <w:lvlText w:val="1.5.%1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5BB2"/>
    <w:multiLevelType w:val="hybridMultilevel"/>
    <w:tmpl w:val="7B5258A4"/>
    <w:lvl w:ilvl="0" w:tplc="11DC61F0">
      <w:start w:val="1"/>
      <w:numFmt w:val="decimal"/>
      <w:pStyle w:val="1511Nadpis4"/>
      <w:lvlText w:val="1.5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8335D"/>
    <w:multiLevelType w:val="hybridMultilevel"/>
    <w:tmpl w:val="5D26F958"/>
    <w:lvl w:ilvl="0" w:tplc="80E0954E">
      <w:start w:val="1"/>
      <w:numFmt w:val="decimal"/>
      <w:pStyle w:val="Nadpis2"/>
      <w:lvlText w:val="1.%1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D223C"/>
    <w:multiLevelType w:val="hybridMultilevel"/>
    <w:tmpl w:val="2DBA98AE"/>
    <w:lvl w:ilvl="0" w:tplc="BA168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854E0"/>
    <w:multiLevelType w:val="hybridMultilevel"/>
    <w:tmpl w:val="AEF0AAA8"/>
    <w:lvl w:ilvl="0" w:tplc="73FC0B32">
      <w:start w:val="1"/>
      <w:numFmt w:val="decimal"/>
      <w:pStyle w:val="1521"/>
      <w:lvlText w:val="1.5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46EF3"/>
    <w:multiLevelType w:val="hybridMultilevel"/>
    <w:tmpl w:val="6D3632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085E51"/>
    <w:multiLevelType w:val="hybridMultilevel"/>
    <w:tmpl w:val="BD08706C"/>
    <w:lvl w:ilvl="0" w:tplc="3CBC7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EBA967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3F0A1E"/>
    <w:multiLevelType w:val="hybridMultilevel"/>
    <w:tmpl w:val="98FA5662"/>
    <w:lvl w:ilvl="0" w:tplc="6F9EA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1"/>
  </w:num>
  <w:num w:numId="5">
    <w:abstractNumId w:val="26"/>
  </w:num>
  <w:num w:numId="6">
    <w:abstractNumId w:val="14"/>
  </w:num>
  <w:num w:numId="7">
    <w:abstractNumId w:val="13"/>
  </w:num>
  <w:num w:numId="8">
    <w:abstractNumId w:val="10"/>
  </w:num>
  <w:num w:numId="9">
    <w:abstractNumId w:val="19"/>
  </w:num>
  <w:num w:numId="10">
    <w:abstractNumId w:val="5"/>
  </w:num>
  <w:num w:numId="11">
    <w:abstractNumId w:val="6"/>
  </w:num>
  <w:num w:numId="12">
    <w:abstractNumId w:val="21"/>
  </w:num>
  <w:num w:numId="13">
    <w:abstractNumId w:val="16"/>
  </w:num>
  <w:num w:numId="14">
    <w:abstractNumId w:val="24"/>
  </w:num>
  <w:num w:numId="15">
    <w:abstractNumId w:val="12"/>
  </w:num>
  <w:num w:numId="16">
    <w:abstractNumId w:val="2"/>
  </w:num>
  <w:num w:numId="17">
    <w:abstractNumId w:val="23"/>
  </w:num>
  <w:num w:numId="18">
    <w:abstractNumId w:val="25"/>
  </w:num>
  <w:num w:numId="19">
    <w:abstractNumId w:val="0"/>
  </w:num>
  <w:num w:numId="20">
    <w:abstractNumId w:val="4"/>
  </w:num>
  <w:num w:numId="21">
    <w:abstractNumId w:val="22"/>
  </w:num>
  <w:num w:numId="22">
    <w:abstractNumId w:val="20"/>
  </w:num>
  <w:num w:numId="23">
    <w:abstractNumId w:val="15"/>
  </w:num>
  <w:num w:numId="24">
    <w:abstractNumId w:val="1"/>
  </w:num>
  <w:num w:numId="25">
    <w:abstractNumId w:val="20"/>
    <w:lvlOverride w:ilvl="0">
      <w:startOverride w:val="1"/>
    </w:lvlOverride>
  </w:num>
  <w:num w:numId="26">
    <w:abstractNumId w:val="17"/>
  </w:num>
  <w:num w:numId="27">
    <w:abstractNumId w:val="8"/>
  </w:num>
  <w:num w:numId="28">
    <w:abstractNumId w:val="9"/>
  </w:num>
  <w:num w:numId="29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9BC"/>
    <w:rsid w:val="00000606"/>
    <w:rsid w:val="00000A9C"/>
    <w:rsid w:val="00001BBD"/>
    <w:rsid w:val="00001F4B"/>
    <w:rsid w:val="00004257"/>
    <w:rsid w:val="0000487C"/>
    <w:rsid w:val="000061AB"/>
    <w:rsid w:val="00007C42"/>
    <w:rsid w:val="000129E7"/>
    <w:rsid w:val="00012EC8"/>
    <w:rsid w:val="000151F0"/>
    <w:rsid w:val="000172AD"/>
    <w:rsid w:val="00021F0C"/>
    <w:rsid w:val="00023237"/>
    <w:rsid w:val="00024551"/>
    <w:rsid w:val="00024DB7"/>
    <w:rsid w:val="000255ED"/>
    <w:rsid w:val="00025C84"/>
    <w:rsid w:val="000262A8"/>
    <w:rsid w:val="000305AA"/>
    <w:rsid w:val="00030764"/>
    <w:rsid w:val="00031FD0"/>
    <w:rsid w:val="00031FFE"/>
    <w:rsid w:val="0003343A"/>
    <w:rsid w:val="000340E2"/>
    <w:rsid w:val="000351F9"/>
    <w:rsid w:val="00036431"/>
    <w:rsid w:val="00036F82"/>
    <w:rsid w:val="00037447"/>
    <w:rsid w:val="00037AB2"/>
    <w:rsid w:val="00037C2B"/>
    <w:rsid w:val="00040585"/>
    <w:rsid w:val="00041926"/>
    <w:rsid w:val="0004290E"/>
    <w:rsid w:val="00043B17"/>
    <w:rsid w:val="000444E1"/>
    <w:rsid w:val="00046E98"/>
    <w:rsid w:val="00050A0F"/>
    <w:rsid w:val="0005180C"/>
    <w:rsid w:val="000518C7"/>
    <w:rsid w:val="000519A2"/>
    <w:rsid w:val="00051DCC"/>
    <w:rsid w:val="00060276"/>
    <w:rsid w:val="00060875"/>
    <w:rsid w:val="0006369E"/>
    <w:rsid w:val="00063C94"/>
    <w:rsid w:val="00064488"/>
    <w:rsid w:val="00064F15"/>
    <w:rsid w:val="00067D89"/>
    <w:rsid w:val="00067EEC"/>
    <w:rsid w:val="00070E56"/>
    <w:rsid w:val="00072492"/>
    <w:rsid w:val="00072C79"/>
    <w:rsid w:val="000730FB"/>
    <w:rsid w:val="000735CA"/>
    <w:rsid w:val="00075821"/>
    <w:rsid w:val="00076ECF"/>
    <w:rsid w:val="0008119B"/>
    <w:rsid w:val="00081DCB"/>
    <w:rsid w:val="00083389"/>
    <w:rsid w:val="000833A8"/>
    <w:rsid w:val="0008374D"/>
    <w:rsid w:val="000869CE"/>
    <w:rsid w:val="000878B7"/>
    <w:rsid w:val="00087B93"/>
    <w:rsid w:val="00091E84"/>
    <w:rsid w:val="0009606B"/>
    <w:rsid w:val="00096285"/>
    <w:rsid w:val="000974A2"/>
    <w:rsid w:val="00097D8F"/>
    <w:rsid w:val="00097F88"/>
    <w:rsid w:val="000A1EBB"/>
    <w:rsid w:val="000A3308"/>
    <w:rsid w:val="000A3EAB"/>
    <w:rsid w:val="000A4FAA"/>
    <w:rsid w:val="000B1B66"/>
    <w:rsid w:val="000B2151"/>
    <w:rsid w:val="000B3100"/>
    <w:rsid w:val="000B3EFA"/>
    <w:rsid w:val="000C0868"/>
    <w:rsid w:val="000C1B81"/>
    <w:rsid w:val="000C2224"/>
    <w:rsid w:val="000C2FF3"/>
    <w:rsid w:val="000C5F3E"/>
    <w:rsid w:val="000C602C"/>
    <w:rsid w:val="000C6965"/>
    <w:rsid w:val="000C7C91"/>
    <w:rsid w:val="000D0EDA"/>
    <w:rsid w:val="000D2E16"/>
    <w:rsid w:val="000D48AE"/>
    <w:rsid w:val="000D5B25"/>
    <w:rsid w:val="000D6C56"/>
    <w:rsid w:val="000E00AC"/>
    <w:rsid w:val="000E02BA"/>
    <w:rsid w:val="000E039E"/>
    <w:rsid w:val="000E0B61"/>
    <w:rsid w:val="000E1BE0"/>
    <w:rsid w:val="000E299F"/>
    <w:rsid w:val="000E3E5A"/>
    <w:rsid w:val="000E5556"/>
    <w:rsid w:val="000E5CE3"/>
    <w:rsid w:val="000E6AE4"/>
    <w:rsid w:val="000E6DEE"/>
    <w:rsid w:val="000F09B0"/>
    <w:rsid w:val="000F14CE"/>
    <w:rsid w:val="000F21B4"/>
    <w:rsid w:val="000F28A4"/>
    <w:rsid w:val="000F2EBA"/>
    <w:rsid w:val="000F5E49"/>
    <w:rsid w:val="000F6354"/>
    <w:rsid w:val="000F7448"/>
    <w:rsid w:val="000F7ABA"/>
    <w:rsid w:val="001036C1"/>
    <w:rsid w:val="00103904"/>
    <w:rsid w:val="00104884"/>
    <w:rsid w:val="0010574E"/>
    <w:rsid w:val="001073B6"/>
    <w:rsid w:val="00110529"/>
    <w:rsid w:val="001112D5"/>
    <w:rsid w:val="00111887"/>
    <w:rsid w:val="00111D59"/>
    <w:rsid w:val="0011349B"/>
    <w:rsid w:val="00113F2A"/>
    <w:rsid w:val="0011600B"/>
    <w:rsid w:val="001161D7"/>
    <w:rsid w:val="001166B3"/>
    <w:rsid w:val="00116A80"/>
    <w:rsid w:val="001173AB"/>
    <w:rsid w:val="001174C9"/>
    <w:rsid w:val="0011759A"/>
    <w:rsid w:val="00120462"/>
    <w:rsid w:val="001210BC"/>
    <w:rsid w:val="0012320B"/>
    <w:rsid w:val="0012392C"/>
    <w:rsid w:val="00125D5D"/>
    <w:rsid w:val="00126CA4"/>
    <w:rsid w:val="0012738F"/>
    <w:rsid w:val="001273EC"/>
    <w:rsid w:val="00127E2B"/>
    <w:rsid w:val="0013097B"/>
    <w:rsid w:val="001312FD"/>
    <w:rsid w:val="001313E1"/>
    <w:rsid w:val="00131758"/>
    <w:rsid w:val="00131B7F"/>
    <w:rsid w:val="00131BBF"/>
    <w:rsid w:val="00132626"/>
    <w:rsid w:val="00133A04"/>
    <w:rsid w:val="00133A8B"/>
    <w:rsid w:val="00133FC9"/>
    <w:rsid w:val="0013652A"/>
    <w:rsid w:val="00137A73"/>
    <w:rsid w:val="001406B1"/>
    <w:rsid w:val="0014079F"/>
    <w:rsid w:val="00141860"/>
    <w:rsid w:val="001419A3"/>
    <w:rsid w:val="00144624"/>
    <w:rsid w:val="001454C6"/>
    <w:rsid w:val="00146879"/>
    <w:rsid w:val="00150CDE"/>
    <w:rsid w:val="00151756"/>
    <w:rsid w:val="001517E9"/>
    <w:rsid w:val="00151A4F"/>
    <w:rsid w:val="001526EE"/>
    <w:rsid w:val="00152F9F"/>
    <w:rsid w:val="001534AE"/>
    <w:rsid w:val="0015397D"/>
    <w:rsid w:val="00153FBE"/>
    <w:rsid w:val="001562A2"/>
    <w:rsid w:val="00160313"/>
    <w:rsid w:val="00160DE0"/>
    <w:rsid w:val="0016289F"/>
    <w:rsid w:val="00163E2F"/>
    <w:rsid w:val="00164FD4"/>
    <w:rsid w:val="00165F3C"/>
    <w:rsid w:val="001666DD"/>
    <w:rsid w:val="00166CE5"/>
    <w:rsid w:val="00166FD4"/>
    <w:rsid w:val="001673D0"/>
    <w:rsid w:val="001719FA"/>
    <w:rsid w:val="00174C2F"/>
    <w:rsid w:val="00175A47"/>
    <w:rsid w:val="00176F10"/>
    <w:rsid w:val="00177607"/>
    <w:rsid w:val="00181A9A"/>
    <w:rsid w:val="00182E0A"/>
    <w:rsid w:val="00184605"/>
    <w:rsid w:val="00184618"/>
    <w:rsid w:val="00185246"/>
    <w:rsid w:val="00191483"/>
    <w:rsid w:val="00192904"/>
    <w:rsid w:val="00192CB3"/>
    <w:rsid w:val="00194712"/>
    <w:rsid w:val="0019675B"/>
    <w:rsid w:val="001A0DCD"/>
    <w:rsid w:val="001A2563"/>
    <w:rsid w:val="001A3FE6"/>
    <w:rsid w:val="001A4E3D"/>
    <w:rsid w:val="001A6C26"/>
    <w:rsid w:val="001A7F28"/>
    <w:rsid w:val="001B010E"/>
    <w:rsid w:val="001B02A3"/>
    <w:rsid w:val="001B045D"/>
    <w:rsid w:val="001B385E"/>
    <w:rsid w:val="001B6115"/>
    <w:rsid w:val="001B747A"/>
    <w:rsid w:val="001C01C3"/>
    <w:rsid w:val="001C114A"/>
    <w:rsid w:val="001C23CD"/>
    <w:rsid w:val="001C26B6"/>
    <w:rsid w:val="001C4AAF"/>
    <w:rsid w:val="001C62F6"/>
    <w:rsid w:val="001C6489"/>
    <w:rsid w:val="001D1229"/>
    <w:rsid w:val="001D1984"/>
    <w:rsid w:val="001D1FDF"/>
    <w:rsid w:val="001D24A2"/>
    <w:rsid w:val="001D29AC"/>
    <w:rsid w:val="001D433A"/>
    <w:rsid w:val="001D503A"/>
    <w:rsid w:val="001D5ABD"/>
    <w:rsid w:val="001E1C2E"/>
    <w:rsid w:val="001E5722"/>
    <w:rsid w:val="001E7215"/>
    <w:rsid w:val="001E77F9"/>
    <w:rsid w:val="001F3F7B"/>
    <w:rsid w:val="001F4C23"/>
    <w:rsid w:val="001F4D85"/>
    <w:rsid w:val="001F641A"/>
    <w:rsid w:val="00203BC9"/>
    <w:rsid w:val="00205344"/>
    <w:rsid w:val="00205C50"/>
    <w:rsid w:val="0021102C"/>
    <w:rsid w:val="002110FE"/>
    <w:rsid w:val="002111E0"/>
    <w:rsid w:val="0021312E"/>
    <w:rsid w:val="00213164"/>
    <w:rsid w:val="002147D9"/>
    <w:rsid w:val="0021497F"/>
    <w:rsid w:val="00215170"/>
    <w:rsid w:val="00220647"/>
    <w:rsid w:val="00220F6F"/>
    <w:rsid w:val="0022178D"/>
    <w:rsid w:val="00222C8E"/>
    <w:rsid w:val="00224813"/>
    <w:rsid w:val="0022578A"/>
    <w:rsid w:val="0022625C"/>
    <w:rsid w:val="00227781"/>
    <w:rsid w:val="00227D58"/>
    <w:rsid w:val="00230D0D"/>
    <w:rsid w:val="002313F5"/>
    <w:rsid w:val="00231569"/>
    <w:rsid w:val="00232417"/>
    <w:rsid w:val="00233934"/>
    <w:rsid w:val="00234968"/>
    <w:rsid w:val="00235A22"/>
    <w:rsid w:val="00235A7C"/>
    <w:rsid w:val="00236879"/>
    <w:rsid w:val="00237CD9"/>
    <w:rsid w:val="0024268E"/>
    <w:rsid w:val="002426F7"/>
    <w:rsid w:val="00242E42"/>
    <w:rsid w:val="00243356"/>
    <w:rsid w:val="00243A84"/>
    <w:rsid w:val="0024504D"/>
    <w:rsid w:val="002454FB"/>
    <w:rsid w:val="00246108"/>
    <w:rsid w:val="002469E9"/>
    <w:rsid w:val="00247E5A"/>
    <w:rsid w:val="00251DE6"/>
    <w:rsid w:val="0025391D"/>
    <w:rsid w:val="00253A9F"/>
    <w:rsid w:val="00253AF5"/>
    <w:rsid w:val="00256045"/>
    <w:rsid w:val="00261171"/>
    <w:rsid w:val="0026183A"/>
    <w:rsid w:val="002619F9"/>
    <w:rsid w:val="00262DE5"/>
    <w:rsid w:val="00265432"/>
    <w:rsid w:val="0026766A"/>
    <w:rsid w:val="00270F84"/>
    <w:rsid w:val="00274366"/>
    <w:rsid w:val="00274F58"/>
    <w:rsid w:val="00275391"/>
    <w:rsid w:val="002766E0"/>
    <w:rsid w:val="002772BD"/>
    <w:rsid w:val="00280413"/>
    <w:rsid w:val="00280CFD"/>
    <w:rsid w:val="002813EF"/>
    <w:rsid w:val="0028472C"/>
    <w:rsid w:val="00284AA2"/>
    <w:rsid w:val="00284D54"/>
    <w:rsid w:val="00287064"/>
    <w:rsid w:val="00290E0B"/>
    <w:rsid w:val="00294452"/>
    <w:rsid w:val="00295104"/>
    <w:rsid w:val="00295525"/>
    <w:rsid w:val="00296E6E"/>
    <w:rsid w:val="002A794C"/>
    <w:rsid w:val="002B0C3E"/>
    <w:rsid w:val="002B0ED3"/>
    <w:rsid w:val="002B11DF"/>
    <w:rsid w:val="002B1280"/>
    <w:rsid w:val="002B1302"/>
    <w:rsid w:val="002B2D24"/>
    <w:rsid w:val="002B3B7E"/>
    <w:rsid w:val="002B500B"/>
    <w:rsid w:val="002B5B0B"/>
    <w:rsid w:val="002B64CB"/>
    <w:rsid w:val="002B6622"/>
    <w:rsid w:val="002B7263"/>
    <w:rsid w:val="002B782D"/>
    <w:rsid w:val="002C08DF"/>
    <w:rsid w:val="002C5BD9"/>
    <w:rsid w:val="002D0190"/>
    <w:rsid w:val="002D0838"/>
    <w:rsid w:val="002D0A34"/>
    <w:rsid w:val="002D0E96"/>
    <w:rsid w:val="002D1590"/>
    <w:rsid w:val="002D215C"/>
    <w:rsid w:val="002D2826"/>
    <w:rsid w:val="002D2E5F"/>
    <w:rsid w:val="002D364B"/>
    <w:rsid w:val="002D3902"/>
    <w:rsid w:val="002D3CDF"/>
    <w:rsid w:val="002D4282"/>
    <w:rsid w:val="002D5037"/>
    <w:rsid w:val="002D50C2"/>
    <w:rsid w:val="002D5A46"/>
    <w:rsid w:val="002D6D65"/>
    <w:rsid w:val="002D7111"/>
    <w:rsid w:val="002D7B5D"/>
    <w:rsid w:val="002E0949"/>
    <w:rsid w:val="002E0F77"/>
    <w:rsid w:val="002E14FC"/>
    <w:rsid w:val="002E1B00"/>
    <w:rsid w:val="002E217B"/>
    <w:rsid w:val="002E2EA4"/>
    <w:rsid w:val="002E3169"/>
    <w:rsid w:val="002E3595"/>
    <w:rsid w:val="002E424B"/>
    <w:rsid w:val="002E493E"/>
    <w:rsid w:val="002E5101"/>
    <w:rsid w:val="002E5441"/>
    <w:rsid w:val="002E5A21"/>
    <w:rsid w:val="002E71CC"/>
    <w:rsid w:val="002E7245"/>
    <w:rsid w:val="002E7608"/>
    <w:rsid w:val="002E7EF2"/>
    <w:rsid w:val="002F0D5B"/>
    <w:rsid w:val="002F1D78"/>
    <w:rsid w:val="002F35C8"/>
    <w:rsid w:val="002F3F3A"/>
    <w:rsid w:val="002F4216"/>
    <w:rsid w:val="002F434E"/>
    <w:rsid w:val="002F4B14"/>
    <w:rsid w:val="002F6E94"/>
    <w:rsid w:val="002F6F6B"/>
    <w:rsid w:val="002F73CA"/>
    <w:rsid w:val="00300D34"/>
    <w:rsid w:val="00300EE6"/>
    <w:rsid w:val="00302FA6"/>
    <w:rsid w:val="00303B48"/>
    <w:rsid w:val="00303CEB"/>
    <w:rsid w:val="003045E4"/>
    <w:rsid w:val="00305C32"/>
    <w:rsid w:val="0030785B"/>
    <w:rsid w:val="00307C7F"/>
    <w:rsid w:val="0031087C"/>
    <w:rsid w:val="00310C1C"/>
    <w:rsid w:val="00311114"/>
    <w:rsid w:val="003116A1"/>
    <w:rsid w:val="00311A07"/>
    <w:rsid w:val="00312870"/>
    <w:rsid w:val="00312F8C"/>
    <w:rsid w:val="0031458F"/>
    <w:rsid w:val="0031508A"/>
    <w:rsid w:val="00316047"/>
    <w:rsid w:val="003230D2"/>
    <w:rsid w:val="003235DA"/>
    <w:rsid w:val="00325AA2"/>
    <w:rsid w:val="00325FD2"/>
    <w:rsid w:val="00326259"/>
    <w:rsid w:val="003265E4"/>
    <w:rsid w:val="0032682E"/>
    <w:rsid w:val="00330DEE"/>
    <w:rsid w:val="00330FEA"/>
    <w:rsid w:val="00331DE3"/>
    <w:rsid w:val="003323D3"/>
    <w:rsid w:val="00332536"/>
    <w:rsid w:val="0033294B"/>
    <w:rsid w:val="0033522A"/>
    <w:rsid w:val="00335BF0"/>
    <w:rsid w:val="003369DF"/>
    <w:rsid w:val="00337A7A"/>
    <w:rsid w:val="003407A2"/>
    <w:rsid w:val="003421A3"/>
    <w:rsid w:val="00342C5E"/>
    <w:rsid w:val="00343CAA"/>
    <w:rsid w:val="00343CCA"/>
    <w:rsid w:val="00345B63"/>
    <w:rsid w:val="00347AB3"/>
    <w:rsid w:val="00347E6A"/>
    <w:rsid w:val="00350F7D"/>
    <w:rsid w:val="003526F9"/>
    <w:rsid w:val="0035323E"/>
    <w:rsid w:val="003540DB"/>
    <w:rsid w:val="003545F4"/>
    <w:rsid w:val="0035472C"/>
    <w:rsid w:val="003550DC"/>
    <w:rsid w:val="003557A8"/>
    <w:rsid w:val="0035592D"/>
    <w:rsid w:val="00355FB9"/>
    <w:rsid w:val="003575FA"/>
    <w:rsid w:val="00360573"/>
    <w:rsid w:val="003611B9"/>
    <w:rsid w:val="00361E78"/>
    <w:rsid w:val="003647E7"/>
    <w:rsid w:val="00364D66"/>
    <w:rsid w:val="00364FFB"/>
    <w:rsid w:val="0036593A"/>
    <w:rsid w:val="0036785D"/>
    <w:rsid w:val="0037142A"/>
    <w:rsid w:val="003733F5"/>
    <w:rsid w:val="00375012"/>
    <w:rsid w:val="00376973"/>
    <w:rsid w:val="00377D04"/>
    <w:rsid w:val="00380E05"/>
    <w:rsid w:val="0038218D"/>
    <w:rsid w:val="003829E7"/>
    <w:rsid w:val="003838AF"/>
    <w:rsid w:val="00383BC7"/>
    <w:rsid w:val="00383CFE"/>
    <w:rsid w:val="00384DAD"/>
    <w:rsid w:val="0038513F"/>
    <w:rsid w:val="00385C6C"/>
    <w:rsid w:val="00386C46"/>
    <w:rsid w:val="00387622"/>
    <w:rsid w:val="00387A3A"/>
    <w:rsid w:val="00387B9A"/>
    <w:rsid w:val="00390484"/>
    <w:rsid w:val="003911BF"/>
    <w:rsid w:val="00391BFC"/>
    <w:rsid w:val="0039227A"/>
    <w:rsid w:val="003930D5"/>
    <w:rsid w:val="00394846"/>
    <w:rsid w:val="003960FD"/>
    <w:rsid w:val="003965E0"/>
    <w:rsid w:val="00396879"/>
    <w:rsid w:val="00396AC0"/>
    <w:rsid w:val="003A00E9"/>
    <w:rsid w:val="003A0763"/>
    <w:rsid w:val="003A20A0"/>
    <w:rsid w:val="003A2BDC"/>
    <w:rsid w:val="003A2D59"/>
    <w:rsid w:val="003A3566"/>
    <w:rsid w:val="003A3D0D"/>
    <w:rsid w:val="003A3EA3"/>
    <w:rsid w:val="003A5226"/>
    <w:rsid w:val="003A6EC3"/>
    <w:rsid w:val="003B201D"/>
    <w:rsid w:val="003B2EFA"/>
    <w:rsid w:val="003B7EA2"/>
    <w:rsid w:val="003C1551"/>
    <w:rsid w:val="003C1667"/>
    <w:rsid w:val="003C18A0"/>
    <w:rsid w:val="003C6776"/>
    <w:rsid w:val="003C6952"/>
    <w:rsid w:val="003C6E6A"/>
    <w:rsid w:val="003D0090"/>
    <w:rsid w:val="003D10D2"/>
    <w:rsid w:val="003D14A2"/>
    <w:rsid w:val="003D2DC4"/>
    <w:rsid w:val="003D4162"/>
    <w:rsid w:val="003D43D6"/>
    <w:rsid w:val="003D5FB3"/>
    <w:rsid w:val="003D626A"/>
    <w:rsid w:val="003D6522"/>
    <w:rsid w:val="003D6E57"/>
    <w:rsid w:val="003E1219"/>
    <w:rsid w:val="003E1614"/>
    <w:rsid w:val="003E45E9"/>
    <w:rsid w:val="003E4686"/>
    <w:rsid w:val="003E55C5"/>
    <w:rsid w:val="003E58EB"/>
    <w:rsid w:val="003E5B19"/>
    <w:rsid w:val="003E5E6C"/>
    <w:rsid w:val="003E6A6C"/>
    <w:rsid w:val="003F084E"/>
    <w:rsid w:val="003F241F"/>
    <w:rsid w:val="003F2957"/>
    <w:rsid w:val="003F3778"/>
    <w:rsid w:val="003F4B40"/>
    <w:rsid w:val="003F5479"/>
    <w:rsid w:val="003F69C0"/>
    <w:rsid w:val="00400208"/>
    <w:rsid w:val="004033B2"/>
    <w:rsid w:val="004034BC"/>
    <w:rsid w:val="004034D3"/>
    <w:rsid w:val="004052FB"/>
    <w:rsid w:val="004052FC"/>
    <w:rsid w:val="00405317"/>
    <w:rsid w:val="00410123"/>
    <w:rsid w:val="0041287A"/>
    <w:rsid w:val="004130FF"/>
    <w:rsid w:val="00413949"/>
    <w:rsid w:val="00415792"/>
    <w:rsid w:val="0041593B"/>
    <w:rsid w:val="0041712A"/>
    <w:rsid w:val="00417EFE"/>
    <w:rsid w:val="00421933"/>
    <w:rsid w:val="00422952"/>
    <w:rsid w:val="00424C88"/>
    <w:rsid w:val="00425C08"/>
    <w:rsid w:val="004261E0"/>
    <w:rsid w:val="00426C7E"/>
    <w:rsid w:val="00430120"/>
    <w:rsid w:val="00433BA4"/>
    <w:rsid w:val="00434F4E"/>
    <w:rsid w:val="0043555D"/>
    <w:rsid w:val="0043766D"/>
    <w:rsid w:val="00437C46"/>
    <w:rsid w:val="00440560"/>
    <w:rsid w:val="00441592"/>
    <w:rsid w:val="00441FD3"/>
    <w:rsid w:val="00442EF2"/>
    <w:rsid w:val="00443694"/>
    <w:rsid w:val="00445103"/>
    <w:rsid w:val="0045008B"/>
    <w:rsid w:val="004511F9"/>
    <w:rsid w:val="004515F5"/>
    <w:rsid w:val="004516F8"/>
    <w:rsid w:val="00451F46"/>
    <w:rsid w:val="004533BB"/>
    <w:rsid w:val="00453EDB"/>
    <w:rsid w:val="00454D9F"/>
    <w:rsid w:val="0045759C"/>
    <w:rsid w:val="00461039"/>
    <w:rsid w:val="0046187A"/>
    <w:rsid w:val="00464D2F"/>
    <w:rsid w:val="00464F2A"/>
    <w:rsid w:val="00467AD7"/>
    <w:rsid w:val="00467D66"/>
    <w:rsid w:val="00472445"/>
    <w:rsid w:val="00472984"/>
    <w:rsid w:val="004734A2"/>
    <w:rsid w:val="00476999"/>
    <w:rsid w:val="00477182"/>
    <w:rsid w:val="00477AF8"/>
    <w:rsid w:val="004809BE"/>
    <w:rsid w:val="004812FD"/>
    <w:rsid w:val="00484B75"/>
    <w:rsid w:val="00485236"/>
    <w:rsid w:val="00486ECC"/>
    <w:rsid w:val="00492358"/>
    <w:rsid w:val="00492B8B"/>
    <w:rsid w:val="00493411"/>
    <w:rsid w:val="00493C83"/>
    <w:rsid w:val="004950C8"/>
    <w:rsid w:val="00495A0F"/>
    <w:rsid w:val="00495E98"/>
    <w:rsid w:val="004960FB"/>
    <w:rsid w:val="00497415"/>
    <w:rsid w:val="00497E7D"/>
    <w:rsid w:val="004A064B"/>
    <w:rsid w:val="004A2775"/>
    <w:rsid w:val="004A35DF"/>
    <w:rsid w:val="004A3D0B"/>
    <w:rsid w:val="004A3FF6"/>
    <w:rsid w:val="004A4710"/>
    <w:rsid w:val="004A6699"/>
    <w:rsid w:val="004A7E31"/>
    <w:rsid w:val="004B03F0"/>
    <w:rsid w:val="004B090C"/>
    <w:rsid w:val="004B0D59"/>
    <w:rsid w:val="004B14F0"/>
    <w:rsid w:val="004B17B7"/>
    <w:rsid w:val="004B3167"/>
    <w:rsid w:val="004B4B51"/>
    <w:rsid w:val="004B4C51"/>
    <w:rsid w:val="004B54FA"/>
    <w:rsid w:val="004B6851"/>
    <w:rsid w:val="004B70E1"/>
    <w:rsid w:val="004B7B80"/>
    <w:rsid w:val="004B7E4E"/>
    <w:rsid w:val="004C1584"/>
    <w:rsid w:val="004C3545"/>
    <w:rsid w:val="004C3EB4"/>
    <w:rsid w:val="004C45B9"/>
    <w:rsid w:val="004C48A3"/>
    <w:rsid w:val="004C4E7B"/>
    <w:rsid w:val="004C5886"/>
    <w:rsid w:val="004C7870"/>
    <w:rsid w:val="004D03F5"/>
    <w:rsid w:val="004D2097"/>
    <w:rsid w:val="004D20D8"/>
    <w:rsid w:val="004D40D9"/>
    <w:rsid w:val="004D537A"/>
    <w:rsid w:val="004D77E5"/>
    <w:rsid w:val="004E02A4"/>
    <w:rsid w:val="004E1CB4"/>
    <w:rsid w:val="004E2E10"/>
    <w:rsid w:val="004E38F5"/>
    <w:rsid w:val="004E6192"/>
    <w:rsid w:val="004E6594"/>
    <w:rsid w:val="004E680A"/>
    <w:rsid w:val="004E6ED8"/>
    <w:rsid w:val="004E7231"/>
    <w:rsid w:val="004F12B2"/>
    <w:rsid w:val="004F1DB7"/>
    <w:rsid w:val="004F3AA4"/>
    <w:rsid w:val="004F3EAB"/>
    <w:rsid w:val="004F4B99"/>
    <w:rsid w:val="00500DD1"/>
    <w:rsid w:val="0050124C"/>
    <w:rsid w:val="005027D1"/>
    <w:rsid w:val="00502EA5"/>
    <w:rsid w:val="005047E6"/>
    <w:rsid w:val="00505969"/>
    <w:rsid w:val="005065AF"/>
    <w:rsid w:val="00507FF4"/>
    <w:rsid w:val="0051340E"/>
    <w:rsid w:val="00516C45"/>
    <w:rsid w:val="005176A9"/>
    <w:rsid w:val="00520B7C"/>
    <w:rsid w:val="005216A3"/>
    <w:rsid w:val="005221E5"/>
    <w:rsid w:val="00522FA3"/>
    <w:rsid w:val="00523131"/>
    <w:rsid w:val="00525176"/>
    <w:rsid w:val="00525386"/>
    <w:rsid w:val="005258A8"/>
    <w:rsid w:val="00526120"/>
    <w:rsid w:val="00527E57"/>
    <w:rsid w:val="005317F9"/>
    <w:rsid w:val="0053276F"/>
    <w:rsid w:val="005327D6"/>
    <w:rsid w:val="005356C6"/>
    <w:rsid w:val="005358D8"/>
    <w:rsid w:val="00535F2E"/>
    <w:rsid w:val="00536456"/>
    <w:rsid w:val="00536FFE"/>
    <w:rsid w:val="00537BAF"/>
    <w:rsid w:val="00541727"/>
    <w:rsid w:val="00541CA6"/>
    <w:rsid w:val="00541CCE"/>
    <w:rsid w:val="00543ADC"/>
    <w:rsid w:val="00544E57"/>
    <w:rsid w:val="0054532C"/>
    <w:rsid w:val="00545984"/>
    <w:rsid w:val="00545991"/>
    <w:rsid w:val="00545CA9"/>
    <w:rsid w:val="005460CA"/>
    <w:rsid w:val="00546B87"/>
    <w:rsid w:val="005471F1"/>
    <w:rsid w:val="00550900"/>
    <w:rsid w:val="00550EF5"/>
    <w:rsid w:val="005514E4"/>
    <w:rsid w:val="005516B8"/>
    <w:rsid w:val="0055326B"/>
    <w:rsid w:val="00553328"/>
    <w:rsid w:val="005558CA"/>
    <w:rsid w:val="00555921"/>
    <w:rsid w:val="00560237"/>
    <w:rsid w:val="00561001"/>
    <w:rsid w:val="00561B69"/>
    <w:rsid w:val="0056220B"/>
    <w:rsid w:val="00562E2A"/>
    <w:rsid w:val="00565B7A"/>
    <w:rsid w:val="00565E57"/>
    <w:rsid w:val="00566A97"/>
    <w:rsid w:val="005674B2"/>
    <w:rsid w:val="005677FA"/>
    <w:rsid w:val="00570A1F"/>
    <w:rsid w:val="00572834"/>
    <w:rsid w:val="00573E13"/>
    <w:rsid w:val="0057489D"/>
    <w:rsid w:val="0057506F"/>
    <w:rsid w:val="00575862"/>
    <w:rsid w:val="005767C4"/>
    <w:rsid w:val="0057738C"/>
    <w:rsid w:val="00577AFE"/>
    <w:rsid w:val="0058000E"/>
    <w:rsid w:val="00580241"/>
    <w:rsid w:val="00580302"/>
    <w:rsid w:val="0058035E"/>
    <w:rsid w:val="005805F3"/>
    <w:rsid w:val="0058172B"/>
    <w:rsid w:val="00582484"/>
    <w:rsid w:val="005838BA"/>
    <w:rsid w:val="0058747F"/>
    <w:rsid w:val="0058779E"/>
    <w:rsid w:val="005920BC"/>
    <w:rsid w:val="005922C4"/>
    <w:rsid w:val="005923A9"/>
    <w:rsid w:val="00592F3E"/>
    <w:rsid w:val="00595870"/>
    <w:rsid w:val="00596AA5"/>
    <w:rsid w:val="005A0EA5"/>
    <w:rsid w:val="005A1367"/>
    <w:rsid w:val="005A2CBE"/>
    <w:rsid w:val="005A5654"/>
    <w:rsid w:val="005A58E0"/>
    <w:rsid w:val="005A5ABD"/>
    <w:rsid w:val="005A6421"/>
    <w:rsid w:val="005A6AE1"/>
    <w:rsid w:val="005B153D"/>
    <w:rsid w:val="005B15AD"/>
    <w:rsid w:val="005B182C"/>
    <w:rsid w:val="005B729B"/>
    <w:rsid w:val="005C1AC9"/>
    <w:rsid w:val="005C1F97"/>
    <w:rsid w:val="005C3E8E"/>
    <w:rsid w:val="005C48A7"/>
    <w:rsid w:val="005C6C68"/>
    <w:rsid w:val="005C7574"/>
    <w:rsid w:val="005D2664"/>
    <w:rsid w:val="005D2B7A"/>
    <w:rsid w:val="005D2BF1"/>
    <w:rsid w:val="005D2F09"/>
    <w:rsid w:val="005D4A30"/>
    <w:rsid w:val="005D5D08"/>
    <w:rsid w:val="005D5D1C"/>
    <w:rsid w:val="005D6365"/>
    <w:rsid w:val="005E0A39"/>
    <w:rsid w:val="005E1190"/>
    <w:rsid w:val="005E2ED3"/>
    <w:rsid w:val="005E33A3"/>
    <w:rsid w:val="005E3496"/>
    <w:rsid w:val="005E398F"/>
    <w:rsid w:val="005E439A"/>
    <w:rsid w:val="005E4B93"/>
    <w:rsid w:val="005E533E"/>
    <w:rsid w:val="005E7B52"/>
    <w:rsid w:val="005F0C70"/>
    <w:rsid w:val="005F1208"/>
    <w:rsid w:val="005F34B6"/>
    <w:rsid w:val="005F5077"/>
    <w:rsid w:val="005F5187"/>
    <w:rsid w:val="005F630B"/>
    <w:rsid w:val="005F747E"/>
    <w:rsid w:val="00600364"/>
    <w:rsid w:val="0060099E"/>
    <w:rsid w:val="0060305A"/>
    <w:rsid w:val="0060464D"/>
    <w:rsid w:val="00604D7D"/>
    <w:rsid w:val="00605778"/>
    <w:rsid w:val="006057F5"/>
    <w:rsid w:val="00610A45"/>
    <w:rsid w:val="00610AF8"/>
    <w:rsid w:val="00611500"/>
    <w:rsid w:val="00611EEF"/>
    <w:rsid w:val="006129F9"/>
    <w:rsid w:val="00614BA3"/>
    <w:rsid w:val="00615A09"/>
    <w:rsid w:val="00616DFB"/>
    <w:rsid w:val="00617804"/>
    <w:rsid w:val="00617923"/>
    <w:rsid w:val="00617E70"/>
    <w:rsid w:val="0062005F"/>
    <w:rsid w:val="00620B82"/>
    <w:rsid w:val="006210AC"/>
    <w:rsid w:val="006248BD"/>
    <w:rsid w:val="006256B5"/>
    <w:rsid w:val="00625B5D"/>
    <w:rsid w:val="00626BDF"/>
    <w:rsid w:val="00627596"/>
    <w:rsid w:val="00631607"/>
    <w:rsid w:val="00631F35"/>
    <w:rsid w:val="006320C5"/>
    <w:rsid w:val="00635422"/>
    <w:rsid w:val="00635BE2"/>
    <w:rsid w:val="00636E03"/>
    <w:rsid w:val="00637D6D"/>
    <w:rsid w:val="00640294"/>
    <w:rsid w:val="00640606"/>
    <w:rsid w:val="00640885"/>
    <w:rsid w:val="00641335"/>
    <w:rsid w:val="00646284"/>
    <w:rsid w:val="00646F00"/>
    <w:rsid w:val="00647E53"/>
    <w:rsid w:val="0065195C"/>
    <w:rsid w:val="00651C6A"/>
    <w:rsid w:val="00652E63"/>
    <w:rsid w:val="0065582B"/>
    <w:rsid w:val="006569CF"/>
    <w:rsid w:val="00657026"/>
    <w:rsid w:val="006570CE"/>
    <w:rsid w:val="00657453"/>
    <w:rsid w:val="0066040C"/>
    <w:rsid w:val="00660F79"/>
    <w:rsid w:val="00662317"/>
    <w:rsid w:val="0066345A"/>
    <w:rsid w:val="006647DC"/>
    <w:rsid w:val="00664ED3"/>
    <w:rsid w:val="00665D22"/>
    <w:rsid w:val="00666A62"/>
    <w:rsid w:val="0066700C"/>
    <w:rsid w:val="00670221"/>
    <w:rsid w:val="00671726"/>
    <w:rsid w:val="00671D1D"/>
    <w:rsid w:val="0067285A"/>
    <w:rsid w:val="00673838"/>
    <w:rsid w:val="00673ED4"/>
    <w:rsid w:val="006740E5"/>
    <w:rsid w:val="00675B00"/>
    <w:rsid w:val="006769B6"/>
    <w:rsid w:val="00676D58"/>
    <w:rsid w:val="006777D6"/>
    <w:rsid w:val="006805BA"/>
    <w:rsid w:val="006806DB"/>
    <w:rsid w:val="00680DD4"/>
    <w:rsid w:val="00686F95"/>
    <w:rsid w:val="006967D1"/>
    <w:rsid w:val="00696DAC"/>
    <w:rsid w:val="006A25E3"/>
    <w:rsid w:val="006A4DFA"/>
    <w:rsid w:val="006A552A"/>
    <w:rsid w:val="006A6667"/>
    <w:rsid w:val="006A7A5E"/>
    <w:rsid w:val="006A7D73"/>
    <w:rsid w:val="006B1D53"/>
    <w:rsid w:val="006B314C"/>
    <w:rsid w:val="006B321F"/>
    <w:rsid w:val="006B52AD"/>
    <w:rsid w:val="006B5930"/>
    <w:rsid w:val="006B6387"/>
    <w:rsid w:val="006B6410"/>
    <w:rsid w:val="006B6E83"/>
    <w:rsid w:val="006B713B"/>
    <w:rsid w:val="006B79BC"/>
    <w:rsid w:val="006C0A6D"/>
    <w:rsid w:val="006C1C77"/>
    <w:rsid w:val="006C1D16"/>
    <w:rsid w:val="006C3256"/>
    <w:rsid w:val="006C68EC"/>
    <w:rsid w:val="006C73E7"/>
    <w:rsid w:val="006C76DF"/>
    <w:rsid w:val="006D00D0"/>
    <w:rsid w:val="006D1413"/>
    <w:rsid w:val="006D1C99"/>
    <w:rsid w:val="006D1CE0"/>
    <w:rsid w:val="006D3515"/>
    <w:rsid w:val="006E120F"/>
    <w:rsid w:val="006E3392"/>
    <w:rsid w:val="006E3498"/>
    <w:rsid w:val="006E40FF"/>
    <w:rsid w:val="006E4485"/>
    <w:rsid w:val="006E51F9"/>
    <w:rsid w:val="006E5AF1"/>
    <w:rsid w:val="006E66B1"/>
    <w:rsid w:val="006E6F13"/>
    <w:rsid w:val="006E6FD6"/>
    <w:rsid w:val="006F244A"/>
    <w:rsid w:val="006F2F44"/>
    <w:rsid w:val="006F3448"/>
    <w:rsid w:val="006F3A15"/>
    <w:rsid w:val="006F4089"/>
    <w:rsid w:val="006F5960"/>
    <w:rsid w:val="007010A4"/>
    <w:rsid w:val="0070119D"/>
    <w:rsid w:val="00701C05"/>
    <w:rsid w:val="00702017"/>
    <w:rsid w:val="00703466"/>
    <w:rsid w:val="00704A5D"/>
    <w:rsid w:val="00704C55"/>
    <w:rsid w:val="00705040"/>
    <w:rsid w:val="007070E6"/>
    <w:rsid w:val="00707FF6"/>
    <w:rsid w:val="0071099D"/>
    <w:rsid w:val="00713B4A"/>
    <w:rsid w:val="00717094"/>
    <w:rsid w:val="0071766B"/>
    <w:rsid w:val="007214D7"/>
    <w:rsid w:val="007232E8"/>
    <w:rsid w:val="00723A35"/>
    <w:rsid w:val="00723CC1"/>
    <w:rsid w:val="00725184"/>
    <w:rsid w:val="00726F67"/>
    <w:rsid w:val="00727177"/>
    <w:rsid w:val="00727F9E"/>
    <w:rsid w:val="00730741"/>
    <w:rsid w:val="0073153E"/>
    <w:rsid w:val="00732456"/>
    <w:rsid w:val="00732ECE"/>
    <w:rsid w:val="00735BC7"/>
    <w:rsid w:val="00735D97"/>
    <w:rsid w:val="0073796E"/>
    <w:rsid w:val="007404DD"/>
    <w:rsid w:val="007429B3"/>
    <w:rsid w:val="00743371"/>
    <w:rsid w:val="007449A5"/>
    <w:rsid w:val="007449D9"/>
    <w:rsid w:val="00744BF3"/>
    <w:rsid w:val="00744D39"/>
    <w:rsid w:val="00746EE8"/>
    <w:rsid w:val="0074701E"/>
    <w:rsid w:val="00751448"/>
    <w:rsid w:val="00751858"/>
    <w:rsid w:val="00751E34"/>
    <w:rsid w:val="00751F72"/>
    <w:rsid w:val="007546D5"/>
    <w:rsid w:val="007550CF"/>
    <w:rsid w:val="00755EF9"/>
    <w:rsid w:val="00756492"/>
    <w:rsid w:val="00757547"/>
    <w:rsid w:val="0075780A"/>
    <w:rsid w:val="007578D1"/>
    <w:rsid w:val="007579A2"/>
    <w:rsid w:val="00757B42"/>
    <w:rsid w:val="00760AAD"/>
    <w:rsid w:val="0076410B"/>
    <w:rsid w:val="00765619"/>
    <w:rsid w:val="0076609A"/>
    <w:rsid w:val="0076655F"/>
    <w:rsid w:val="00766E01"/>
    <w:rsid w:val="00766F91"/>
    <w:rsid w:val="00767104"/>
    <w:rsid w:val="007675C1"/>
    <w:rsid w:val="00770D31"/>
    <w:rsid w:val="00772FC8"/>
    <w:rsid w:val="00774053"/>
    <w:rsid w:val="0077594B"/>
    <w:rsid w:val="00776672"/>
    <w:rsid w:val="0078064A"/>
    <w:rsid w:val="00780BF2"/>
    <w:rsid w:val="00781752"/>
    <w:rsid w:val="007822C7"/>
    <w:rsid w:val="007825A5"/>
    <w:rsid w:val="007843BB"/>
    <w:rsid w:val="0078482B"/>
    <w:rsid w:val="00785185"/>
    <w:rsid w:val="00786017"/>
    <w:rsid w:val="007867C5"/>
    <w:rsid w:val="00787EB4"/>
    <w:rsid w:val="007914AD"/>
    <w:rsid w:val="007917D5"/>
    <w:rsid w:val="00791F37"/>
    <w:rsid w:val="0079244D"/>
    <w:rsid w:val="00793C67"/>
    <w:rsid w:val="007945BE"/>
    <w:rsid w:val="00795731"/>
    <w:rsid w:val="00796528"/>
    <w:rsid w:val="007970DF"/>
    <w:rsid w:val="007A1EB9"/>
    <w:rsid w:val="007A39E4"/>
    <w:rsid w:val="007A3C93"/>
    <w:rsid w:val="007A3EE0"/>
    <w:rsid w:val="007A43DD"/>
    <w:rsid w:val="007A4CEF"/>
    <w:rsid w:val="007B0C24"/>
    <w:rsid w:val="007B364E"/>
    <w:rsid w:val="007B5C10"/>
    <w:rsid w:val="007B640D"/>
    <w:rsid w:val="007B6B7D"/>
    <w:rsid w:val="007C0445"/>
    <w:rsid w:val="007C0646"/>
    <w:rsid w:val="007C0BB7"/>
    <w:rsid w:val="007C1D1C"/>
    <w:rsid w:val="007C1E54"/>
    <w:rsid w:val="007C38E5"/>
    <w:rsid w:val="007C5A32"/>
    <w:rsid w:val="007C6075"/>
    <w:rsid w:val="007C6B4D"/>
    <w:rsid w:val="007C781D"/>
    <w:rsid w:val="007D2C5C"/>
    <w:rsid w:val="007D41AA"/>
    <w:rsid w:val="007D42D7"/>
    <w:rsid w:val="007E020D"/>
    <w:rsid w:val="007E1698"/>
    <w:rsid w:val="007E1987"/>
    <w:rsid w:val="007E226B"/>
    <w:rsid w:val="007E2A26"/>
    <w:rsid w:val="007E2B35"/>
    <w:rsid w:val="007E2E1F"/>
    <w:rsid w:val="007E4353"/>
    <w:rsid w:val="007F0153"/>
    <w:rsid w:val="007F0A07"/>
    <w:rsid w:val="007F0ECE"/>
    <w:rsid w:val="007F1216"/>
    <w:rsid w:val="007F1F17"/>
    <w:rsid w:val="007F2175"/>
    <w:rsid w:val="007F3204"/>
    <w:rsid w:val="007F3683"/>
    <w:rsid w:val="007F5E6C"/>
    <w:rsid w:val="007F6A34"/>
    <w:rsid w:val="007F7BAF"/>
    <w:rsid w:val="00800E1B"/>
    <w:rsid w:val="00801FE5"/>
    <w:rsid w:val="00803A0F"/>
    <w:rsid w:val="00806DAA"/>
    <w:rsid w:val="008106FE"/>
    <w:rsid w:val="00810A4E"/>
    <w:rsid w:val="00810B8D"/>
    <w:rsid w:val="00810E7E"/>
    <w:rsid w:val="00812464"/>
    <w:rsid w:val="00816D08"/>
    <w:rsid w:val="008225DC"/>
    <w:rsid w:val="00823D4F"/>
    <w:rsid w:val="008260DD"/>
    <w:rsid w:val="008268E5"/>
    <w:rsid w:val="00827538"/>
    <w:rsid w:val="008275B8"/>
    <w:rsid w:val="008278E2"/>
    <w:rsid w:val="008309BB"/>
    <w:rsid w:val="008335C8"/>
    <w:rsid w:val="008337D8"/>
    <w:rsid w:val="008343BD"/>
    <w:rsid w:val="0083675B"/>
    <w:rsid w:val="0083682E"/>
    <w:rsid w:val="00840888"/>
    <w:rsid w:val="008419B8"/>
    <w:rsid w:val="00842F62"/>
    <w:rsid w:val="00844924"/>
    <w:rsid w:val="00844FA0"/>
    <w:rsid w:val="0084501F"/>
    <w:rsid w:val="008453ED"/>
    <w:rsid w:val="008538C7"/>
    <w:rsid w:val="00854467"/>
    <w:rsid w:val="00854BBD"/>
    <w:rsid w:val="00856F00"/>
    <w:rsid w:val="00857AB5"/>
    <w:rsid w:val="00860C90"/>
    <w:rsid w:val="008612C7"/>
    <w:rsid w:val="00861393"/>
    <w:rsid w:val="00861F9F"/>
    <w:rsid w:val="00862844"/>
    <w:rsid w:val="0086561B"/>
    <w:rsid w:val="00866436"/>
    <w:rsid w:val="008666C1"/>
    <w:rsid w:val="00867BBB"/>
    <w:rsid w:val="00870A99"/>
    <w:rsid w:val="00872082"/>
    <w:rsid w:val="0087287F"/>
    <w:rsid w:val="00873AF9"/>
    <w:rsid w:val="008754F0"/>
    <w:rsid w:val="008761A1"/>
    <w:rsid w:val="00877884"/>
    <w:rsid w:val="008818D8"/>
    <w:rsid w:val="00883004"/>
    <w:rsid w:val="00883ADA"/>
    <w:rsid w:val="00886BB9"/>
    <w:rsid w:val="008871A1"/>
    <w:rsid w:val="008876B4"/>
    <w:rsid w:val="0088773D"/>
    <w:rsid w:val="00887982"/>
    <w:rsid w:val="008915A2"/>
    <w:rsid w:val="0089223D"/>
    <w:rsid w:val="00892554"/>
    <w:rsid w:val="0089270F"/>
    <w:rsid w:val="00894071"/>
    <w:rsid w:val="00894338"/>
    <w:rsid w:val="00895227"/>
    <w:rsid w:val="008A014E"/>
    <w:rsid w:val="008A0623"/>
    <w:rsid w:val="008A0BAC"/>
    <w:rsid w:val="008A1477"/>
    <w:rsid w:val="008A1578"/>
    <w:rsid w:val="008A3F9D"/>
    <w:rsid w:val="008A41DF"/>
    <w:rsid w:val="008B0D37"/>
    <w:rsid w:val="008B11C9"/>
    <w:rsid w:val="008B30F7"/>
    <w:rsid w:val="008B38B8"/>
    <w:rsid w:val="008B5F3E"/>
    <w:rsid w:val="008B7599"/>
    <w:rsid w:val="008C129A"/>
    <w:rsid w:val="008C1463"/>
    <w:rsid w:val="008C15FA"/>
    <w:rsid w:val="008C19E9"/>
    <w:rsid w:val="008C1B62"/>
    <w:rsid w:val="008C294D"/>
    <w:rsid w:val="008C3E16"/>
    <w:rsid w:val="008C4B72"/>
    <w:rsid w:val="008C5393"/>
    <w:rsid w:val="008C5F3D"/>
    <w:rsid w:val="008C6F1A"/>
    <w:rsid w:val="008D1132"/>
    <w:rsid w:val="008D1AAE"/>
    <w:rsid w:val="008D1EBF"/>
    <w:rsid w:val="008D258E"/>
    <w:rsid w:val="008D4471"/>
    <w:rsid w:val="008D5D60"/>
    <w:rsid w:val="008D7DF5"/>
    <w:rsid w:val="008D7FDB"/>
    <w:rsid w:val="008E003D"/>
    <w:rsid w:val="008E08BE"/>
    <w:rsid w:val="008E15DF"/>
    <w:rsid w:val="008E2471"/>
    <w:rsid w:val="008E2C8F"/>
    <w:rsid w:val="008E2FA8"/>
    <w:rsid w:val="008E4250"/>
    <w:rsid w:val="008E7217"/>
    <w:rsid w:val="008E7E85"/>
    <w:rsid w:val="008F0206"/>
    <w:rsid w:val="008F154C"/>
    <w:rsid w:val="008F24B8"/>
    <w:rsid w:val="008F3608"/>
    <w:rsid w:val="008F3624"/>
    <w:rsid w:val="008F46C9"/>
    <w:rsid w:val="008F4E6B"/>
    <w:rsid w:val="008F5C4E"/>
    <w:rsid w:val="008F5E45"/>
    <w:rsid w:val="00900EBD"/>
    <w:rsid w:val="0090253E"/>
    <w:rsid w:val="00904779"/>
    <w:rsid w:val="00911E87"/>
    <w:rsid w:val="00915045"/>
    <w:rsid w:val="00917E42"/>
    <w:rsid w:val="00921B98"/>
    <w:rsid w:val="00922DCA"/>
    <w:rsid w:val="0092367E"/>
    <w:rsid w:val="009250AD"/>
    <w:rsid w:val="0092574D"/>
    <w:rsid w:val="00925BB8"/>
    <w:rsid w:val="00926EEE"/>
    <w:rsid w:val="00930D05"/>
    <w:rsid w:val="0093226A"/>
    <w:rsid w:val="009326BF"/>
    <w:rsid w:val="00935252"/>
    <w:rsid w:val="00937367"/>
    <w:rsid w:val="00940067"/>
    <w:rsid w:val="00941F4A"/>
    <w:rsid w:val="009434F1"/>
    <w:rsid w:val="00944A9E"/>
    <w:rsid w:val="00945ACC"/>
    <w:rsid w:val="00945BB8"/>
    <w:rsid w:val="00945E91"/>
    <w:rsid w:val="0094652D"/>
    <w:rsid w:val="00950CFA"/>
    <w:rsid w:val="009541CE"/>
    <w:rsid w:val="009553FB"/>
    <w:rsid w:val="009556FC"/>
    <w:rsid w:val="00955864"/>
    <w:rsid w:val="009560B2"/>
    <w:rsid w:val="009573D4"/>
    <w:rsid w:val="00957432"/>
    <w:rsid w:val="00960E88"/>
    <w:rsid w:val="009620DE"/>
    <w:rsid w:val="00965BDF"/>
    <w:rsid w:val="00966D70"/>
    <w:rsid w:val="00972717"/>
    <w:rsid w:val="00974884"/>
    <w:rsid w:val="00974FE9"/>
    <w:rsid w:val="00975282"/>
    <w:rsid w:val="0097537C"/>
    <w:rsid w:val="0097721E"/>
    <w:rsid w:val="00977260"/>
    <w:rsid w:val="009774C2"/>
    <w:rsid w:val="00980D9D"/>
    <w:rsid w:val="009821E7"/>
    <w:rsid w:val="00983564"/>
    <w:rsid w:val="009835C1"/>
    <w:rsid w:val="009838F6"/>
    <w:rsid w:val="00983ABB"/>
    <w:rsid w:val="00984081"/>
    <w:rsid w:val="00985AFC"/>
    <w:rsid w:val="00985FB4"/>
    <w:rsid w:val="00991997"/>
    <w:rsid w:val="0099237A"/>
    <w:rsid w:val="00994AD0"/>
    <w:rsid w:val="009975E0"/>
    <w:rsid w:val="009A10B6"/>
    <w:rsid w:val="009A16BE"/>
    <w:rsid w:val="009A1A4F"/>
    <w:rsid w:val="009A2840"/>
    <w:rsid w:val="009A3371"/>
    <w:rsid w:val="009A5501"/>
    <w:rsid w:val="009A58FC"/>
    <w:rsid w:val="009B12C5"/>
    <w:rsid w:val="009B18DB"/>
    <w:rsid w:val="009B202F"/>
    <w:rsid w:val="009B280A"/>
    <w:rsid w:val="009B304C"/>
    <w:rsid w:val="009B33BD"/>
    <w:rsid w:val="009B399B"/>
    <w:rsid w:val="009B3C35"/>
    <w:rsid w:val="009C3197"/>
    <w:rsid w:val="009C4FF6"/>
    <w:rsid w:val="009C6BB8"/>
    <w:rsid w:val="009C7F2F"/>
    <w:rsid w:val="009D0348"/>
    <w:rsid w:val="009D14A3"/>
    <w:rsid w:val="009D204E"/>
    <w:rsid w:val="009D3AF8"/>
    <w:rsid w:val="009D4189"/>
    <w:rsid w:val="009D4C3F"/>
    <w:rsid w:val="009D7B86"/>
    <w:rsid w:val="009E0738"/>
    <w:rsid w:val="009E0956"/>
    <w:rsid w:val="009E09E9"/>
    <w:rsid w:val="009E26E0"/>
    <w:rsid w:val="009E2CCA"/>
    <w:rsid w:val="009E32F8"/>
    <w:rsid w:val="009E3CFD"/>
    <w:rsid w:val="009E3D5F"/>
    <w:rsid w:val="009E4AAF"/>
    <w:rsid w:val="009E517D"/>
    <w:rsid w:val="009F0DA7"/>
    <w:rsid w:val="009F13E0"/>
    <w:rsid w:val="009F2654"/>
    <w:rsid w:val="009F2AA5"/>
    <w:rsid w:val="009F37E8"/>
    <w:rsid w:val="009F410E"/>
    <w:rsid w:val="009F4323"/>
    <w:rsid w:val="009F4FBB"/>
    <w:rsid w:val="009F5562"/>
    <w:rsid w:val="009F6561"/>
    <w:rsid w:val="00A00644"/>
    <w:rsid w:val="00A00A0B"/>
    <w:rsid w:val="00A00DC9"/>
    <w:rsid w:val="00A04665"/>
    <w:rsid w:val="00A06287"/>
    <w:rsid w:val="00A06627"/>
    <w:rsid w:val="00A11157"/>
    <w:rsid w:val="00A11AFE"/>
    <w:rsid w:val="00A11CEE"/>
    <w:rsid w:val="00A13052"/>
    <w:rsid w:val="00A13CB8"/>
    <w:rsid w:val="00A13F8B"/>
    <w:rsid w:val="00A14CA9"/>
    <w:rsid w:val="00A15307"/>
    <w:rsid w:val="00A166FF"/>
    <w:rsid w:val="00A179B0"/>
    <w:rsid w:val="00A20E59"/>
    <w:rsid w:val="00A21538"/>
    <w:rsid w:val="00A24826"/>
    <w:rsid w:val="00A24DD6"/>
    <w:rsid w:val="00A255F8"/>
    <w:rsid w:val="00A25A29"/>
    <w:rsid w:val="00A26D11"/>
    <w:rsid w:val="00A27AE7"/>
    <w:rsid w:val="00A27BC0"/>
    <w:rsid w:val="00A30419"/>
    <w:rsid w:val="00A31A11"/>
    <w:rsid w:val="00A31B52"/>
    <w:rsid w:val="00A32810"/>
    <w:rsid w:val="00A33754"/>
    <w:rsid w:val="00A3381A"/>
    <w:rsid w:val="00A343FE"/>
    <w:rsid w:val="00A3485A"/>
    <w:rsid w:val="00A349B5"/>
    <w:rsid w:val="00A34B11"/>
    <w:rsid w:val="00A352A6"/>
    <w:rsid w:val="00A405EB"/>
    <w:rsid w:val="00A41753"/>
    <w:rsid w:val="00A41AA9"/>
    <w:rsid w:val="00A446EC"/>
    <w:rsid w:val="00A44C6F"/>
    <w:rsid w:val="00A44F37"/>
    <w:rsid w:val="00A453C0"/>
    <w:rsid w:val="00A45491"/>
    <w:rsid w:val="00A45612"/>
    <w:rsid w:val="00A46AF9"/>
    <w:rsid w:val="00A538C0"/>
    <w:rsid w:val="00A56504"/>
    <w:rsid w:val="00A572C3"/>
    <w:rsid w:val="00A57591"/>
    <w:rsid w:val="00A57BB6"/>
    <w:rsid w:val="00A6066C"/>
    <w:rsid w:val="00A62230"/>
    <w:rsid w:val="00A62302"/>
    <w:rsid w:val="00A64052"/>
    <w:rsid w:val="00A64720"/>
    <w:rsid w:val="00A648C4"/>
    <w:rsid w:val="00A65AD4"/>
    <w:rsid w:val="00A664AF"/>
    <w:rsid w:val="00A66A42"/>
    <w:rsid w:val="00A66B07"/>
    <w:rsid w:val="00A67DA0"/>
    <w:rsid w:val="00A71A25"/>
    <w:rsid w:val="00A72743"/>
    <w:rsid w:val="00A75A1E"/>
    <w:rsid w:val="00A77052"/>
    <w:rsid w:val="00A807FC"/>
    <w:rsid w:val="00A81554"/>
    <w:rsid w:val="00A831F2"/>
    <w:rsid w:val="00A838EE"/>
    <w:rsid w:val="00A8610A"/>
    <w:rsid w:val="00A8755F"/>
    <w:rsid w:val="00A87FD7"/>
    <w:rsid w:val="00A902C3"/>
    <w:rsid w:val="00A904D4"/>
    <w:rsid w:val="00A9253B"/>
    <w:rsid w:val="00A93E0E"/>
    <w:rsid w:val="00A94144"/>
    <w:rsid w:val="00A949BD"/>
    <w:rsid w:val="00A9709C"/>
    <w:rsid w:val="00AA2134"/>
    <w:rsid w:val="00AA2D89"/>
    <w:rsid w:val="00AA49C4"/>
    <w:rsid w:val="00AA4B9A"/>
    <w:rsid w:val="00AA4ED0"/>
    <w:rsid w:val="00AB1D07"/>
    <w:rsid w:val="00AB35B6"/>
    <w:rsid w:val="00AB5538"/>
    <w:rsid w:val="00AB5595"/>
    <w:rsid w:val="00AB5649"/>
    <w:rsid w:val="00AC1184"/>
    <w:rsid w:val="00AC180D"/>
    <w:rsid w:val="00AC22A6"/>
    <w:rsid w:val="00AC3582"/>
    <w:rsid w:val="00AC3A35"/>
    <w:rsid w:val="00AC5F9A"/>
    <w:rsid w:val="00AC7BDC"/>
    <w:rsid w:val="00AD00BF"/>
    <w:rsid w:val="00AD1845"/>
    <w:rsid w:val="00AD21A6"/>
    <w:rsid w:val="00AD2331"/>
    <w:rsid w:val="00AD2803"/>
    <w:rsid w:val="00AD3F26"/>
    <w:rsid w:val="00AD55C3"/>
    <w:rsid w:val="00AD5D69"/>
    <w:rsid w:val="00AD6A38"/>
    <w:rsid w:val="00AD76E0"/>
    <w:rsid w:val="00AD7895"/>
    <w:rsid w:val="00AE066E"/>
    <w:rsid w:val="00AE0E7B"/>
    <w:rsid w:val="00AE2163"/>
    <w:rsid w:val="00AE3BA3"/>
    <w:rsid w:val="00AE4128"/>
    <w:rsid w:val="00AE44B4"/>
    <w:rsid w:val="00AE4840"/>
    <w:rsid w:val="00AE4CC4"/>
    <w:rsid w:val="00AF0D7F"/>
    <w:rsid w:val="00AF1D13"/>
    <w:rsid w:val="00AF256A"/>
    <w:rsid w:val="00AF29D7"/>
    <w:rsid w:val="00AF76A1"/>
    <w:rsid w:val="00AF7BD9"/>
    <w:rsid w:val="00B02C95"/>
    <w:rsid w:val="00B02D87"/>
    <w:rsid w:val="00B05D43"/>
    <w:rsid w:val="00B063A3"/>
    <w:rsid w:val="00B07009"/>
    <w:rsid w:val="00B076E2"/>
    <w:rsid w:val="00B07F0E"/>
    <w:rsid w:val="00B112CA"/>
    <w:rsid w:val="00B11DD1"/>
    <w:rsid w:val="00B148ED"/>
    <w:rsid w:val="00B208E2"/>
    <w:rsid w:val="00B21023"/>
    <w:rsid w:val="00B221CA"/>
    <w:rsid w:val="00B232E4"/>
    <w:rsid w:val="00B23592"/>
    <w:rsid w:val="00B23932"/>
    <w:rsid w:val="00B24D2E"/>
    <w:rsid w:val="00B2529F"/>
    <w:rsid w:val="00B2547C"/>
    <w:rsid w:val="00B255B1"/>
    <w:rsid w:val="00B25C32"/>
    <w:rsid w:val="00B2692C"/>
    <w:rsid w:val="00B26C53"/>
    <w:rsid w:val="00B2741C"/>
    <w:rsid w:val="00B276AF"/>
    <w:rsid w:val="00B27B39"/>
    <w:rsid w:val="00B30BA1"/>
    <w:rsid w:val="00B314A8"/>
    <w:rsid w:val="00B3328A"/>
    <w:rsid w:val="00B33832"/>
    <w:rsid w:val="00B345BE"/>
    <w:rsid w:val="00B377C7"/>
    <w:rsid w:val="00B400FD"/>
    <w:rsid w:val="00B4035F"/>
    <w:rsid w:val="00B4182A"/>
    <w:rsid w:val="00B43F94"/>
    <w:rsid w:val="00B4427E"/>
    <w:rsid w:val="00B448B1"/>
    <w:rsid w:val="00B452E5"/>
    <w:rsid w:val="00B45693"/>
    <w:rsid w:val="00B45E81"/>
    <w:rsid w:val="00B46512"/>
    <w:rsid w:val="00B46A4D"/>
    <w:rsid w:val="00B46B17"/>
    <w:rsid w:val="00B47F9E"/>
    <w:rsid w:val="00B504B4"/>
    <w:rsid w:val="00B5093B"/>
    <w:rsid w:val="00B50DD0"/>
    <w:rsid w:val="00B5113B"/>
    <w:rsid w:val="00B51751"/>
    <w:rsid w:val="00B53A41"/>
    <w:rsid w:val="00B5719C"/>
    <w:rsid w:val="00B57EEE"/>
    <w:rsid w:val="00B601ED"/>
    <w:rsid w:val="00B605A0"/>
    <w:rsid w:val="00B60F59"/>
    <w:rsid w:val="00B61A9C"/>
    <w:rsid w:val="00B63A29"/>
    <w:rsid w:val="00B63D6E"/>
    <w:rsid w:val="00B6492C"/>
    <w:rsid w:val="00B651AE"/>
    <w:rsid w:val="00B6574A"/>
    <w:rsid w:val="00B67A3A"/>
    <w:rsid w:val="00B7180A"/>
    <w:rsid w:val="00B728DB"/>
    <w:rsid w:val="00B73F84"/>
    <w:rsid w:val="00B744E1"/>
    <w:rsid w:val="00B747B6"/>
    <w:rsid w:val="00B753BB"/>
    <w:rsid w:val="00B75567"/>
    <w:rsid w:val="00B765A6"/>
    <w:rsid w:val="00B77418"/>
    <w:rsid w:val="00B77448"/>
    <w:rsid w:val="00B80DE8"/>
    <w:rsid w:val="00B817C6"/>
    <w:rsid w:val="00B82C3C"/>
    <w:rsid w:val="00B8330A"/>
    <w:rsid w:val="00B83349"/>
    <w:rsid w:val="00B86DAB"/>
    <w:rsid w:val="00B86E73"/>
    <w:rsid w:val="00B91A0C"/>
    <w:rsid w:val="00B92ABA"/>
    <w:rsid w:val="00B939F3"/>
    <w:rsid w:val="00B93FBE"/>
    <w:rsid w:val="00B956BC"/>
    <w:rsid w:val="00B970C2"/>
    <w:rsid w:val="00B973ED"/>
    <w:rsid w:val="00B97A98"/>
    <w:rsid w:val="00BA03DB"/>
    <w:rsid w:val="00BA3326"/>
    <w:rsid w:val="00BA5CED"/>
    <w:rsid w:val="00BA75DA"/>
    <w:rsid w:val="00BA7B95"/>
    <w:rsid w:val="00BB00D5"/>
    <w:rsid w:val="00BB1B48"/>
    <w:rsid w:val="00BB2E63"/>
    <w:rsid w:val="00BB431D"/>
    <w:rsid w:val="00BB45C5"/>
    <w:rsid w:val="00BB574C"/>
    <w:rsid w:val="00BB6B4F"/>
    <w:rsid w:val="00BB6B72"/>
    <w:rsid w:val="00BB7860"/>
    <w:rsid w:val="00BC02AC"/>
    <w:rsid w:val="00BC0DFF"/>
    <w:rsid w:val="00BC0EB2"/>
    <w:rsid w:val="00BC246A"/>
    <w:rsid w:val="00BC28B3"/>
    <w:rsid w:val="00BC28DB"/>
    <w:rsid w:val="00BC37C5"/>
    <w:rsid w:val="00BC3B9E"/>
    <w:rsid w:val="00BC4F92"/>
    <w:rsid w:val="00BC7473"/>
    <w:rsid w:val="00BD039F"/>
    <w:rsid w:val="00BD17A1"/>
    <w:rsid w:val="00BD2ED3"/>
    <w:rsid w:val="00BD328D"/>
    <w:rsid w:val="00BD3CF5"/>
    <w:rsid w:val="00BD6399"/>
    <w:rsid w:val="00BD6667"/>
    <w:rsid w:val="00BD77BA"/>
    <w:rsid w:val="00BD7E76"/>
    <w:rsid w:val="00BE049A"/>
    <w:rsid w:val="00BE08C5"/>
    <w:rsid w:val="00BE0B1D"/>
    <w:rsid w:val="00BE28B7"/>
    <w:rsid w:val="00BE2B91"/>
    <w:rsid w:val="00BE3575"/>
    <w:rsid w:val="00BE437C"/>
    <w:rsid w:val="00BE4AA4"/>
    <w:rsid w:val="00BE6144"/>
    <w:rsid w:val="00BE6BC7"/>
    <w:rsid w:val="00BE6D71"/>
    <w:rsid w:val="00BE7089"/>
    <w:rsid w:val="00BE7EEB"/>
    <w:rsid w:val="00BF0BB0"/>
    <w:rsid w:val="00BF0C36"/>
    <w:rsid w:val="00BF260F"/>
    <w:rsid w:val="00BF3241"/>
    <w:rsid w:val="00BF4634"/>
    <w:rsid w:val="00BF658B"/>
    <w:rsid w:val="00C014F0"/>
    <w:rsid w:val="00C01757"/>
    <w:rsid w:val="00C03607"/>
    <w:rsid w:val="00C04ECA"/>
    <w:rsid w:val="00C0569D"/>
    <w:rsid w:val="00C05CC4"/>
    <w:rsid w:val="00C06132"/>
    <w:rsid w:val="00C064B6"/>
    <w:rsid w:val="00C07105"/>
    <w:rsid w:val="00C07156"/>
    <w:rsid w:val="00C1016C"/>
    <w:rsid w:val="00C10303"/>
    <w:rsid w:val="00C104D1"/>
    <w:rsid w:val="00C11AA8"/>
    <w:rsid w:val="00C1206A"/>
    <w:rsid w:val="00C1247E"/>
    <w:rsid w:val="00C14769"/>
    <w:rsid w:val="00C14FAC"/>
    <w:rsid w:val="00C16364"/>
    <w:rsid w:val="00C16727"/>
    <w:rsid w:val="00C17333"/>
    <w:rsid w:val="00C178EE"/>
    <w:rsid w:val="00C17F5F"/>
    <w:rsid w:val="00C213A8"/>
    <w:rsid w:val="00C2250D"/>
    <w:rsid w:val="00C25175"/>
    <w:rsid w:val="00C25F6E"/>
    <w:rsid w:val="00C261B0"/>
    <w:rsid w:val="00C26511"/>
    <w:rsid w:val="00C2744D"/>
    <w:rsid w:val="00C279C1"/>
    <w:rsid w:val="00C3077D"/>
    <w:rsid w:val="00C3084D"/>
    <w:rsid w:val="00C31E27"/>
    <w:rsid w:val="00C32292"/>
    <w:rsid w:val="00C34262"/>
    <w:rsid w:val="00C35723"/>
    <w:rsid w:val="00C35810"/>
    <w:rsid w:val="00C41350"/>
    <w:rsid w:val="00C436C6"/>
    <w:rsid w:val="00C44779"/>
    <w:rsid w:val="00C466E0"/>
    <w:rsid w:val="00C50A4C"/>
    <w:rsid w:val="00C52529"/>
    <w:rsid w:val="00C53A6F"/>
    <w:rsid w:val="00C54927"/>
    <w:rsid w:val="00C6020C"/>
    <w:rsid w:val="00C608BD"/>
    <w:rsid w:val="00C63C4A"/>
    <w:rsid w:val="00C63DC6"/>
    <w:rsid w:val="00C65AC3"/>
    <w:rsid w:val="00C66EAF"/>
    <w:rsid w:val="00C67129"/>
    <w:rsid w:val="00C6777D"/>
    <w:rsid w:val="00C67C3D"/>
    <w:rsid w:val="00C67D03"/>
    <w:rsid w:val="00C7438C"/>
    <w:rsid w:val="00C747EA"/>
    <w:rsid w:val="00C75308"/>
    <w:rsid w:val="00C759D9"/>
    <w:rsid w:val="00C763CD"/>
    <w:rsid w:val="00C771FD"/>
    <w:rsid w:val="00C77528"/>
    <w:rsid w:val="00C8132F"/>
    <w:rsid w:val="00C81A62"/>
    <w:rsid w:val="00C81B3A"/>
    <w:rsid w:val="00C837EC"/>
    <w:rsid w:val="00C83B48"/>
    <w:rsid w:val="00C85AF4"/>
    <w:rsid w:val="00C8675D"/>
    <w:rsid w:val="00C9149E"/>
    <w:rsid w:val="00C9176B"/>
    <w:rsid w:val="00C940FD"/>
    <w:rsid w:val="00C941FA"/>
    <w:rsid w:val="00C946C1"/>
    <w:rsid w:val="00C94B26"/>
    <w:rsid w:val="00C95335"/>
    <w:rsid w:val="00C95BA3"/>
    <w:rsid w:val="00CA33C3"/>
    <w:rsid w:val="00CA4022"/>
    <w:rsid w:val="00CA5527"/>
    <w:rsid w:val="00CA773C"/>
    <w:rsid w:val="00CA788D"/>
    <w:rsid w:val="00CA79E1"/>
    <w:rsid w:val="00CA7A6A"/>
    <w:rsid w:val="00CB1C4E"/>
    <w:rsid w:val="00CB1D7F"/>
    <w:rsid w:val="00CB3750"/>
    <w:rsid w:val="00CB5B49"/>
    <w:rsid w:val="00CB5B59"/>
    <w:rsid w:val="00CB7B30"/>
    <w:rsid w:val="00CC142B"/>
    <w:rsid w:val="00CC18F8"/>
    <w:rsid w:val="00CC1F62"/>
    <w:rsid w:val="00CC2757"/>
    <w:rsid w:val="00CC3159"/>
    <w:rsid w:val="00CC4461"/>
    <w:rsid w:val="00CC7677"/>
    <w:rsid w:val="00CC77EE"/>
    <w:rsid w:val="00CC7F31"/>
    <w:rsid w:val="00CD007E"/>
    <w:rsid w:val="00CD0EED"/>
    <w:rsid w:val="00CD216E"/>
    <w:rsid w:val="00CD28F9"/>
    <w:rsid w:val="00CD33A2"/>
    <w:rsid w:val="00CD3EB5"/>
    <w:rsid w:val="00CD6E2D"/>
    <w:rsid w:val="00CD727E"/>
    <w:rsid w:val="00CD763C"/>
    <w:rsid w:val="00CD769D"/>
    <w:rsid w:val="00CD7EC1"/>
    <w:rsid w:val="00CE581D"/>
    <w:rsid w:val="00CF0F37"/>
    <w:rsid w:val="00CF195C"/>
    <w:rsid w:val="00CF2B75"/>
    <w:rsid w:val="00CF5762"/>
    <w:rsid w:val="00CF6A81"/>
    <w:rsid w:val="00CF6CD8"/>
    <w:rsid w:val="00CF7DDF"/>
    <w:rsid w:val="00D00FCE"/>
    <w:rsid w:val="00D0229F"/>
    <w:rsid w:val="00D0311A"/>
    <w:rsid w:val="00D053AB"/>
    <w:rsid w:val="00D10427"/>
    <w:rsid w:val="00D10C6B"/>
    <w:rsid w:val="00D11154"/>
    <w:rsid w:val="00D1359D"/>
    <w:rsid w:val="00D13ECE"/>
    <w:rsid w:val="00D14467"/>
    <w:rsid w:val="00D147C6"/>
    <w:rsid w:val="00D151B4"/>
    <w:rsid w:val="00D16781"/>
    <w:rsid w:val="00D16CDF"/>
    <w:rsid w:val="00D17914"/>
    <w:rsid w:val="00D21132"/>
    <w:rsid w:val="00D2122E"/>
    <w:rsid w:val="00D21709"/>
    <w:rsid w:val="00D25402"/>
    <w:rsid w:val="00D255F2"/>
    <w:rsid w:val="00D25D47"/>
    <w:rsid w:val="00D26468"/>
    <w:rsid w:val="00D27D60"/>
    <w:rsid w:val="00D30CDC"/>
    <w:rsid w:val="00D3574C"/>
    <w:rsid w:val="00D40B34"/>
    <w:rsid w:val="00D41945"/>
    <w:rsid w:val="00D423A0"/>
    <w:rsid w:val="00D42C09"/>
    <w:rsid w:val="00D4559F"/>
    <w:rsid w:val="00D45CA5"/>
    <w:rsid w:val="00D46CAC"/>
    <w:rsid w:val="00D504ED"/>
    <w:rsid w:val="00D546EC"/>
    <w:rsid w:val="00D5489C"/>
    <w:rsid w:val="00D54F5C"/>
    <w:rsid w:val="00D56FF3"/>
    <w:rsid w:val="00D57451"/>
    <w:rsid w:val="00D57E9E"/>
    <w:rsid w:val="00D61CFA"/>
    <w:rsid w:val="00D621FA"/>
    <w:rsid w:val="00D62D7D"/>
    <w:rsid w:val="00D6544C"/>
    <w:rsid w:val="00D655C4"/>
    <w:rsid w:val="00D65FE1"/>
    <w:rsid w:val="00D67881"/>
    <w:rsid w:val="00D712A1"/>
    <w:rsid w:val="00D71CAF"/>
    <w:rsid w:val="00D72B7B"/>
    <w:rsid w:val="00D73A07"/>
    <w:rsid w:val="00D74C4B"/>
    <w:rsid w:val="00D74D4A"/>
    <w:rsid w:val="00D755C9"/>
    <w:rsid w:val="00D76155"/>
    <w:rsid w:val="00D776D7"/>
    <w:rsid w:val="00D817E5"/>
    <w:rsid w:val="00D82800"/>
    <w:rsid w:val="00D82921"/>
    <w:rsid w:val="00D83E66"/>
    <w:rsid w:val="00D83E70"/>
    <w:rsid w:val="00D845DB"/>
    <w:rsid w:val="00D846BF"/>
    <w:rsid w:val="00D85782"/>
    <w:rsid w:val="00D8780D"/>
    <w:rsid w:val="00D92CE8"/>
    <w:rsid w:val="00D93B57"/>
    <w:rsid w:val="00D956AB"/>
    <w:rsid w:val="00D97C81"/>
    <w:rsid w:val="00DA1816"/>
    <w:rsid w:val="00DA3819"/>
    <w:rsid w:val="00DA3A93"/>
    <w:rsid w:val="00DA5036"/>
    <w:rsid w:val="00DA55BE"/>
    <w:rsid w:val="00DA570C"/>
    <w:rsid w:val="00DA6C55"/>
    <w:rsid w:val="00DA7ADA"/>
    <w:rsid w:val="00DB1047"/>
    <w:rsid w:val="00DB2685"/>
    <w:rsid w:val="00DB3693"/>
    <w:rsid w:val="00DB4507"/>
    <w:rsid w:val="00DB4F86"/>
    <w:rsid w:val="00DB508E"/>
    <w:rsid w:val="00DB65E2"/>
    <w:rsid w:val="00DC0330"/>
    <w:rsid w:val="00DC0581"/>
    <w:rsid w:val="00DC3388"/>
    <w:rsid w:val="00DC3BF9"/>
    <w:rsid w:val="00DC5848"/>
    <w:rsid w:val="00DC5E53"/>
    <w:rsid w:val="00DC77A3"/>
    <w:rsid w:val="00DC7D07"/>
    <w:rsid w:val="00DD131A"/>
    <w:rsid w:val="00DD1F34"/>
    <w:rsid w:val="00DD213E"/>
    <w:rsid w:val="00DD315C"/>
    <w:rsid w:val="00DD3482"/>
    <w:rsid w:val="00DD371C"/>
    <w:rsid w:val="00DD56F4"/>
    <w:rsid w:val="00DD7F22"/>
    <w:rsid w:val="00DE008D"/>
    <w:rsid w:val="00DE1557"/>
    <w:rsid w:val="00DE2272"/>
    <w:rsid w:val="00DE408C"/>
    <w:rsid w:val="00DE456B"/>
    <w:rsid w:val="00DE4DE2"/>
    <w:rsid w:val="00DE4E0A"/>
    <w:rsid w:val="00DE7D82"/>
    <w:rsid w:val="00DF1210"/>
    <w:rsid w:val="00DF196C"/>
    <w:rsid w:val="00DF26C8"/>
    <w:rsid w:val="00DF2BF9"/>
    <w:rsid w:val="00DF2D8F"/>
    <w:rsid w:val="00DF36F7"/>
    <w:rsid w:val="00DF41E9"/>
    <w:rsid w:val="00DF4B3C"/>
    <w:rsid w:val="00DF5F12"/>
    <w:rsid w:val="00DF7094"/>
    <w:rsid w:val="00DF7627"/>
    <w:rsid w:val="00E017B9"/>
    <w:rsid w:val="00E02715"/>
    <w:rsid w:val="00E05286"/>
    <w:rsid w:val="00E05DA7"/>
    <w:rsid w:val="00E06F3E"/>
    <w:rsid w:val="00E106CA"/>
    <w:rsid w:val="00E1222B"/>
    <w:rsid w:val="00E13057"/>
    <w:rsid w:val="00E154D1"/>
    <w:rsid w:val="00E157E7"/>
    <w:rsid w:val="00E15FCE"/>
    <w:rsid w:val="00E21DEE"/>
    <w:rsid w:val="00E22D37"/>
    <w:rsid w:val="00E23619"/>
    <w:rsid w:val="00E23EA2"/>
    <w:rsid w:val="00E244F5"/>
    <w:rsid w:val="00E25371"/>
    <w:rsid w:val="00E25482"/>
    <w:rsid w:val="00E258F4"/>
    <w:rsid w:val="00E26E90"/>
    <w:rsid w:val="00E26FED"/>
    <w:rsid w:val="00E27415"/>
    <w:rsid w:val="00E274AE"/>
    <w:rsid w:val="00E27F78"/>
    <w:rsid w:val="00E27F86"/>
    <w:rsid w:val="00E312E1"/>
    <w:rsid w:val="00E316D6"/>
    <w:rsid w:val="00E31F4C"/>
    <w:rsid w:val="00E32961"/>
    <w:rsid w:val="00E32B61"/>
    <w:rsid w:val="00E3384C"/>
    <w:rsid w:val="00E35973"/>
    <w:rsid w:val="00E35C95"/>
    <w:rsid w:val="00E36C7F"/>
    <w:rsid w:val="00E37556"/>
    <w:rsid w:val="00E378EB"/>
    <w:rsid w:val="00E37CCC"/>
    <w:rsid w:val="00E43EE2"/>
    <w:rsid w:val="00E446BA"/>
    <w:rsid w:val="00E46369"/>
    <w:rsid w:val="00E50638"/>
    <w:rsid w:val="00E5082F"/>
    <w:rsid w:val="00E529CC"/>
    <w:rsid w:val="00E53B1E"/>
    <w:rsid w:val="00E53E12"/>
    <w:rsid w:val="00E5531D"/>
    <w:rsid w:val="00E5706B"/>
    <w:rsid w:val="00E61526"/>
    <w:rsid w:val="00E62FFC"/>
    <w:rsid w:val="00E6546A"/>
    <w:rsid w:val="00E7074F"/>
    <w:rsid w:val="00E714AC"/>
    <w:rsid w:val="00E74791"/>
    <w:rsid w:val="00E755CB"/>
    <w:rsid w:val="00E75B29"/>
    <w:rsid w:val="00E77BDC"/>
    <w:rsid w:val="00E8233C"/>
    <w:rsid w:val="00E82A12"/>
    <w:rsid w:val="00E87165"/>
    <w:rsid w:val="00E87B16"/>
    <w:rsid w:val="00E90CCD"/>
    <w:rsid w:val="00E92B2D"/>
    <w:rsid w:val="00E93761"/>
    <w:rsid w:val="00E94A4D"/>
    <w:rsid w:val="00E9647F"/>
    <w:rsid w:val="00E97E0D"/>
    <w:rsid w:val="00EA0DAB"/>
    <w:rsid w:val="00EA273B"/>
    <w:rsid w:val="00EA3524"/>
    <w:rsid w:val="00EA360F"/>
    <w:rsid w:val="00EA6311"/>
    <w:rsid w:val="00EB0EF1"/>
    <w:rsid w:val="00EB34C0"/>
    <w:rsid w:val="00EB50D9"/>
    <w:rsid w:val="00EB537F"/>
    <w:rsid w:val="00EB684F"/>
    <w:rsid w:val="00EB7164"/>
    <w:rsid w:val="00EB7E1F"/>
    <w:rsid w:val="00EC01D4"/>
    <w:rsid w:val="00EC0D32"/>
    <w:rsid w:val="00EC56F6"/>
    <w:rsid w:val="00EC696F"/>
    <w:rsid w:val="00EC7975"/>
    <w:rsid w:val="00ED2261"/>
    <w:rsid w:val="00ED2A15"/>
    <w:rsid w:val="00ED2B12"/>
    <w:rsid w:val="00ED45AF"/>
    <w:rsid w:val="00ED5022"/>
    <w:rsid w:val="00ED7890"/>
    <w:rsid w:val="00EE06BA"/>
    <w:rsid w:val="00EE329B"/>
    <w:rsid w:val="00EE3426"/>
    <w:rsid w:val="00EE3840"/>
    <w:rsid w:val="00EE5B35"/>
    <w:rsid w:val="00EE6026"/>
    <w:rsid w:val="00EE763F"/>
    <w:rsid w:val="00EE7E82"/>
    <w:rsid w:val="00EF03AD"/>
    <w:rsid w:val="00EF0BB2"/>
    <w:rsid w:val="00EF0C64"/>
    <w:rsid w:val="00EF282A"/>
    <w:rsid w:val="00EF2929"/>
    <w:rsid w:val="00EF309F"/>
    <w:rsid w:val="00EF399D"/>
    <w:rsid w:val="00EF4864"/>
    <w:rsid w:val="00EF5136"/>
    <w:rsid w:val="00EF5998"/>
    <w:rsid w:val="00EF7232"/>
    <w:rsid w:val="00F00397"/>
    <w:rsid w:val="00F0069C"/>
    <w:rsid w:val="00F007D7"/>
    <w:rsid w:val="00F00D33"/>
    <w:rsid w:val="00F01F90"/>
    <w:rsid w:val="00F025A3"/>
    <w:rsid w:val="00F02F29"/>
    <w:rsid w:val="00F03D4D"/>
    <w:rsid w:val="00F04443"/>
    <w:rsid w:val="00F05E3C"/>
    <w:rsid w:val="00F07A2A"/>
    <w:rsid w:val="00F07BF8"/>
    <w:rsid w:val="00F10F51"/>
    <w:rsid w:val="00F11641"/>
    <w:rsid w:val="00F11E4A"/>
    <w:rsid w:val="00F149B5"/>
    <w:rsid w:val="00F1666E"/>
    <w:rsid w:val="00F205CE"/>
    <w:rsid w:val="00F225FE"/>
    <w:rsid w:val="00F226AF"/>
    <w:rsid w:val="00F23DE4"/>
    <w:rsid w:val="00F25566"/>
    <w:rsid w:val="00F260EF"/>
    <w:rsid w:val="00F2699E"/>
    <w:rsid w:val="00F27730"/>
    <w:rsid w:val="00F27CFC"/>
    <w:rsid w:val="00F309A6"/>
    <w:rsid w:val="00F3110A"/>
    <w:rsid w:val="00F31C39"/>
    <w:rsid w:val="00F33312"/>
    <w:rsid w:val="00F33F9D"/>
    <w:rsid w:val="00F36BD0"/>
    <w:rsid w:val="00F422E7"/>
    <w:rsid w:val="00F432F5"/>
    <w:rsid w:val="00F43BE2"/>
    <w:rsid w:val="00F44D85"/>
    <w:rsid w:val="00F4534E"/>
    <w:rsid w:val="00F458B9"/>
    <w:rsid w:val="00F45957"/>
    <w:rsid w:val="00F46066"/>
    <w:rsid w:val="00F53407"/>
    <w:rsid w:val="00F54D96"/>
    <w:rsid w:val="00F5678F"/>
    <w:rsid w:val="00F6172A"/>
    <w:rsid w:val="00F639F2"/>
    <w:rsid w:val="00F640C4"/>
    <w:rsid w:val="00F649EE"/>
    <w:rsid w:val="00F65106"/>
    <w:rsid w:val="00F66011"/>
    <w:rsid w:val="00F66D91"/>
    <w:rsid w:val="00F67974"/>
    <w:rsid w:val="00F70B0B"/>
    <w:rsid w:val="00F70EA1"/>
    <w:rsid w:val="00F71F77"/>
    <w:rsid w:val="00F720B0"/>
    <w:rsid w:val="00F73D9C"/>
    <w:rsid w:val="00F74D45"/>
    <w:rsid w:val="00F75C41"/>
    <w:rsid w:val="00F7735C"/>
    <w:rsid w:val="00F82A9E"/>
    <w:rsid w:val="00F84143"/>
    <w:rsid w:val="00F84B6B"/>
    <w:rsid w:val="00F8525E"/>
    <w:rsid w:val="00F853FC"/>
    <w:rsid w:val="00F85950"/>
    <w:rsid w:val="00F95662"/>
    <w:rsid w:val="00FA02A9"/>
    <w:rsid w:val="00FA0D6C"/>
    <w:rsid w:val="00FA1CC5"/>
    <w:rsid w:val="00FA3260"/>
    <w:rsid w:val="00FA6B18"/>
    <w:rsid w:val="00FA6D77"/>
    <w:rsid w:val="00FA7253"/>
    <w:rsid w:val="00FA747A"/>
    <w:rsid w:val="00FA76B0"/>
    <w:rsid w:val="00FA79E3"/>
    <w:rsid w:val="00FA7BE6"/>
    <w:rsid w:val="00FB0173"/>
    <w:rsid w:val="00FB216B"/>
    <w:rsid w:val="00FB3112"/>
    <w:rsid w:val="00FB43F0"/>
    <w:rsid w:val="00FB4E90"/>
    <w:rsid w:val="00FB66CF"/>
    <w:rsid w:val="00FB686F"/>
    <w:rsid w:val="00FB6FF2"/>
    <w:rsid w:val="00FB7EB0"/>
    <w:rsid w:val="00FC0076"/>
    <w:rsid w:val="00FC093B"/>
    <w:rsid w:val="00FC13CA"/>
    <w:rsid w:val="00FC24D7"/>
    <w:rsid w:val="00FC4633"/>
    <w:rsid w:val="00FC53E3"/>
    <w:rsid w:val="00FC7765"/>
    <w:rsid w:val="00FD0534"/>
    <w:rsid w:val="00FD0986"/>
    <w:rsid w:val="00FD0AE8"/>
    <w:rsid w:val="00FD1788"/>
    <w:rsid w:val="00FD1F01"/>
    <w:rsid w:val="00FD26B9"/>
    <w:rsid w:val="00FD3BB7"/>
    <w:rsid w:val="00FD6A9B"/>
    <w:rsid w:val="00FD759A"/>
    <w:rsid w:val="00FE01B0"/>
    <w:rsid w:val="00FE02EA"/>
    <w:rsid w:val="00FE1793"/>
    <w:rsid w:val="00FE18E5"/>
    <w:rsid w:val="00FE24E9"/>
    <w:rsid w:val="00FE5251"/>
    <w:rsid w:val="00FE5487"/>
    <w:rsid w:val="00FE615F"/>
    <w:rsid w:val="00FE6A1E"/>
    <w:rsid w:val="00FF0075"/>
    <w:rsid w:val="00FF02E1"/>
    <w:rsid w:val="00FF22CB"/>
    <w:rsid w:val="00FF29AC"/>
    <w:rsid w:val="00FF52FC"/>
    <w:rsid w:val="00FF5D6B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B17132"/>
  <w15:docId w15:val="{F883E134-D65E-4653-B508-7F609B77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5DF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Nadpis1">
    <w:name w:val="heading 1"/>
    <w:basedOn w:val="Titulek"/>
    <w:next w:val="Normln"/>
    <w:link w:val="Nadpis1Char"/>
    <w:autoRedefine/>
    <w:uiPriority w:val="99"/>
    <w:rsid w:val="00812464"/>
    <w:pPr>
      <w:keepNext/>
      <w:keepLines/>
      <w:numPr>
        <w:numId w:val="4"/>
      </w:numPr>
      <w:tabs>
        <w:tab w:val="left" w:pos="567"/>
      </w:tabs>
      <w:spacing w:before="240" w:after="240"/>
      <w:ind w:left="357" w:hanging="357"/>
      <w:outlineLvl w:val="0"/>
    </w:pPr>
    <w:rPr>
      <w:rFonts w:ascii="Cambria" w:hAnsi="Cambria"/>
      <w:color w:val="000000"/>
      <w:sz w:val="28"/>
      <w:szCs w:val="32"/>
      <w:lang w:val="cs-CZ"/>
    </w:rPr>
  </w:style>
  <w:style w:type="paragraph" w:styleId="Nadpis2">
    <w:name w:val="heading 2"/>
    <w:basedOn w:val="Normln"/>
    <w:next w:val="Normln"/>
    <w:link w:val="Nadpis2Char"/>
    <w:qFormat/>
    <w:rsid w:val="00C7438C"/>
    <w:pPr>
      <w:keepNext/>
      <w:keepLines/>
      <w:numPr>
        <w:numId w:val="21"/>
      </w:numPr>
      <w:tabs>
        <w:tab w:val="left" w:pos="567"/>
      </w:tabs>
      <w:spacing w:before="120" w:after="120"/>
      <w:outlineLvl w:val="1"/>
    </w:pPr>
    <w:rPr>
      <w:rFonts w:ascii="Cambria" w:hAnsi="Cambria"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6B713B"/>
    <w:pPr>
      <w:numPr>
        <w:numId w:val="13"/>
      </w:numPr>
      <w:tabs>
        <w:tab w:val="left" w:pos="624"/>
      </w:tabs>
      <w:spacing w:after="60"/>
      <w:outlineLvl w:val="2"/>
    </w:pPr>
    <w:rPr>
      <w:rFonts w:ascii="Cambria" w:hAnsi="Cambria"/>
      <w:sz w:val="26"/>
    </w:rPr>
  </w:style>
  <w:style w:type="paragraph" w:styleId="Nadpis4">
    <w:name w:val="heading 4"/>
    <w:basedOn w:val="Normln"/>
    <w:next w:val="Normln"/>
    <w:link w:val="Nadpis4Char"/>
    <w:unhideWhenUsed/>
    <w:locked/>
    <w:rsid w:val="008B11C9"/>
    <w:pPr>
      <w:numPr>
        <w:numId w:val="10"/>
      </w:numPr>
      <w:tabs>
        <w:tab w:val="left" w:pos="737"/>
      </w:tabs>
      <w:spacing w:after="40"/>
      <w:outlineLvl w:val="3"/>
    </w:pPr>
    <w:rPr>
      <w:rFonts w:ascii="Cambria" w:hAnsi="Cambria"/>
      <w:color w:val="00000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12464"/>
    <w:rPr>
      <w:rFonts w:ascii="Cambria" w:hAnsi="Cambria"/>
      <w:b/>
      <w:bCs/>
      <w:color w:val="000000"/>
      <w:sz w:val="28"/>
      <w:szCs w:val="32"/>
      <w:lang w:eastAsia="fr-FR"/>
    </w:rPr>
  </w:style>
  <w:style w:type="character" w:customStyle="1" w:styleId="Nadpis2Char">
    <w:name w:val="Nadpis 2 Char"/>
    <w:link w:val="Nadpis2"/>
    <w:locked/>
    <w:rsid w:val="00C7438C"/>
    <w:rPr>
      <w:rFonts w:ascii="Cambria" w:hAnsi="Cambria"/>
      <w:color w:val="000000"/>
      <w:kern w:val="3"/>
      <w:sz w:val="28"/>
      <w:szCs w:val="26"/>
    </w:rPr>
  </w:style>
  <w:style w:type="character" w:styleId="Hypertextovodkaz">
    <w:name w:val="Hyperlink"/>
    <w:uiPriority w:val="99"/>
    <w:rsid w:val="00CF576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86DAB"/>
    <w:pPr>
      <w:tabs>
        <w:tab w:val="center" w:pos="4536"/>
        <w:tab w:val="right" w:pos="9072"/>
      </w:tabs>
    </w:pPr>
    <w:rPr>
      <w:rFonts w:ascii="Calibri" w:hAnsi="Calibri"/>
      <w:kern w:val="0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B86DAB"/>
    <w:rPr>
      <w:rFonts w:cs="Times New Roman"/>
    </w:rPr>
  </w:style>
  <w:style w:type="paragraph" w:styleId="Zpat">
    <w:name w:val="footer"/>
    <w:basedOn w:val="Normln"/>
    <w:link w:val="ZpatChar"/>
    <w:uiPriority w:val="99"/>
    <w:rsid w:val="00B86DAB"/>
    <w:pPr>
      <w:tabs>
        <w:tab w:val="center" w:pos="4536"/>
        <w:tab w:val="right" w:pos="9072"/>
      </w:tabs>
    </w:pPr>
    <w:rPr>
      <w:rFonts w:ascii="Calibri" w:hAnsi="Calibri"/>
      <w:kern w:val="0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86DA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8666C1"/>
    <w:pPr>
      <w:ind w:left="720"/>
      <w:contextualSpacing/>
    </w:pPr>
  </w:style>
  <w:style w:type="table" w:styleId="Mkatabulky">
    <w:name w:val="Table Grid"/>
    <w:basedOn w:val="Normlntabulka"/>
    <w:uiPriority w:val="99"/>
    <w:rsid w:val="00B4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99"/>
    <w:qFormat/>
    <w:rsid w:val="005D5D08"/>
    <w:rPr>
      <w:rFonts w:cs="Times New Roman"/>
      <w:i/>
    </w:rPr>
  </w:style>
  <w:style w:type="paragraph" w:styleId="Nadpisobsahu">
    <w:name w:val="TOC Heading"/>
    <w:basedOn w:val="Nadpis1"/>
    <w:next w:val="Normln"/>
    <w:uiPriority w:val="99"/>
    <w:rsid w:val="00E32B61"/>
    <w:pPr>
      <w:numPr>
        <w:numId w:val="2"/>
      </w:numPr>
      <w:ind w:left="714" w:hanging="357"/>
      <w:outlineLvl w:val="9"/>
    </w:pPr>
  </w:style>
  <w:style w:type="paragraph" w:styleId="Obsah1">
    <w:name w:val="toc 1"/>
    <w:basedOn w:val="Normln"/>
    <w:next w:val="Normln"/>
    <w:autoRedefine/>
    <w:uiPriority w:val="39"/>
    <w:rsid w:val="007A4CEF"/>
    <w:pPr>
      <w:tabs>
        <w:tab w:val="left" w:pos="284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rsid w:val="00CC4461"/>
    <w:pPr>
      <w:tabs>
        <w:tab w:val="left" w:pos="426"/>
        <w:tab w:val="right" w:leader="dot" w:pos="9062"/>
      </w:tabs>
      <w:spacing w:after="60"/>
    </w:pPr>
    <w:rPr>
      <w:rFonts w:ascii="Cambria" w:hAnsi="Cambria"/>
    </w:rPr>
  </w:style>
  <w:style w:type="paragraph" w:styleId="Textbubliny">
    <w:name w:val="Balloon Text"/>
    <w:basedOn w:val="Normln"/>
    <w:link w:val="TextbublinyChar"/>
    <w:uiPriority w:val="99"/>
    <w:semiHidden/>
    <w:rsid w:val="00B45693"/>
    <w:rPr>
      <w:rFonts w:ascii="Segoe UI" w:hAnsi="Segoe UI"/>
      <w:kern w:val="0"/>
      <w:sz w:val="18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B45693"/>
    <w:rPr>
      <w:rFonts w:ascii="Segoe UI" w:hAnsi="Segoe UI" w:cs="Times New Roman"/>
      <w:sz w:val="18"/>
    </w:rPr>
  </w:style>
  <w:style w:type="paragraph" w:styleId="Textvysvtlivek">
    <w:name w:val="endnote text"/>
    <w:basedOn w:val="Normln"/>
    <w:link w:val="TextvysvtlivekChar"/>
    <w:uiPriority w:val="99"/>
    <w:semiHidden/>
    <w:rsid w:val="00723CC1"/>
    <w:rPr>
      <w:rFonts w:ascii="Calibri" w:hAnsi="Calibri"/>
      <w:kern w:val="0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723CC1"/>
    <w:rPr>
      <w:rFonts w:cs="Times New Roman"/>
      <w:sz w:val="20"/>
    </w:rPr>
  </w:style>
  <w:style w:type="character" w:styleId="Odkaznavysvtlivky">
    <w:name w:val="endnote reference"/>
    <w:uiPriority w:val="99"/>
    <w:semiHidden/>
    <w:rsid w:val="00723CC1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829E7"/>
    <w:rPr>
      <w:rFonts w:ascii="Calibri" w:hAnsi="Calibri"/>
      <w:kern w:val="0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3829E7"/>
    <w:rPr>
      <w:rFonts w:cs="Times New Roman"/>
      <w:sz w:val="20"/>
    </w:rPr>
  </w:style>
  <w:style w:type="character" w:styleId="Znakapoznpodarou">
    <w:name w:val="footnote reference"/>
    <w:uiPriority w:val="99"/>
    <w:semiHidden/>
    <w:rsid w:val="003829E7"/>
    <w:rPr>
      <w:rFonts w:cs="Times New Roman"/>
      <w:vertAlign w:val="superscript"/>
    </w:rPr>
  </w:style>
  <w:style w:type="paragraph" w:styleId="Bezmezer">
    <w:name w:val="No Spacing"/>
    <w:uiPriority w:val="99"/>
    <w:qFormat/>
    <w:rsid w:val="009B202F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Titulek">
    <w:name w:val="caption"/>
    <w:basedOn w:val="Normln"/>
    <w:next w:val="Normln"/>
    <w:uiPriority w:val="99"/>
    <w:qFormat/>
    <w:rsid w:val="004B7B80"/>
    <w:pPr>
      <w:widowControl/>
      <w:suppressAutoHyphens w:val="0"/>
      <w:overflowPunct/>
      <w:autoSpaceDE/>
      <w:autoSpaceDN/>
      <w:spacing w:after="200"/>
      <w:textAlignment w:val="auto"/>
    </w:pPr>
    <w:rPr>
      <w:rFonts w:ascii="Arial" w:hAnsi="Arial"/>
      <w:b/>
      <w:bCs/>
      <w:color w:val="4472C4"/>
      <w:kern w:val="0"/>
      <w:sz w:val="18"/>
      <w:szCs w:val="18"/>
      <w:lang w:val="en-GB" w:eastAsia="fr-FR"/>
    </w:rPr>
  </w:style>
  <w:style w:type="character" w:styleId="Sledovanodkaz">
    <w:name w:val="FollowedHyperlink"/>
    <w:uiPriority w:val="99"/>
    <w:semiHidden/>
    <w:rsid w:val="001A7F28"/>
    <w:rPr>
      <w:rFonts w:cs="Times New Roman"/>
      <w:color w:val="954F72"/>
      <w:u w:val="single"/>
    </w:rPr>
  </w:style>
  <w:style w:type="character" w:styleId="slostrnky">
    <w:name w:val="page number"/>
    <w:uiPriority w:val="99"/>
    <w:rsid w:val="008754F0"/>
    <w:rPr>
      <w:rFonts w:cs="Times New Roman"/>
    </w:rPr>
  </w:style>
  <w:style w:type="paragraph" w:styleId="Normlnweb">
    <w:name w:val="Normal (Web)"/>
    <w:basedOn w:val="Normln"/>
    <w:uiPriority w:val="99"/>
    <w:rsid w:val="003C1551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Nevyeenzmnka1">
    <w:name w:val="Nevyřešená zmínka1"/>
    <w:uiPriority w:val="99"/>
    <w:semiHidden/>
    <w:rsid w:val="004D20D8"/>
    <w:rPr>
      <w:color w:val="605E5C"/>
      <w:shd w:val="clear" w:color="auto" w:fill="E1DFDD"/>
    </w:rPr>
  </w:style>
  <w:style w:type="character" w:customStyle="1" w:styleId="Nevyeenzmnka2">
    <w:name w:val="Nevyřešená zmínka2"/>
    <w:uiPriority w:val="99"/>
    <w:semiHidden/>
    <w:rsid w:val="003911BF"/>
    <w:rPr>
      <w:color w:val="605E5C"/>
      <w:shd w:val="clear" w:color="auto" w:fill="E1DFDD"/>
    </w:rPr>
  </w:style>
  <w:style w:type="character" w:styleId="Siln">
    <w:name w:val="Strong"/>
    <w:uiPriority w:val="99"/>
    <w:qFormat/>
    <w:locked/>
    <w:rsid w:val="00637D6D"/>
    <w:rPr>
      <w:rFonts w:cs="Times New Roman"/>
      <w:b/>
    </w:rPr>
  </w:style>
  <w:style w:type="numbering" w:customStyle="1" w:styleId="Styl1">
    <w:name w:val="Styl1"/>
    <w:rsid w:val="0059583E"/>
    <w:pPr>
      <w:numPr>
        <w:numId w:val="3"/>
      </w:numPr>
    </w:pPr>
  </w:style>
  <w:style w:type="character" w:customStyle="1" w:styleId="Nadpis3Char">
    <w:name w:val="Nadpis 3 Char"/>
    <w:link w:val="Nadpis3"/>
    <w:rsid w:val="006B713B"/>
    <w:rPr>
      <w:rFonts w:ascii="Cambria" w:hAnsi="Cambria"/>
      <w:kern w:val="3"/>
      <w:sz w:val="26"/>
      <w:szCs w:val="22"/>
    </w:rPr>
  </w:style>
  <w:style w:type="paragraph" w:styleId="Obsah3">
    <w:name w:val="toc 3"/>
    <w:basedOn w:val="Normln"/>
    <w:next w:val="Normln"/>
    <w:autoRedefine/>
    <w:uiPriority w:val="39"/>
    <w:locked/>
    <w:rsid w:val="005E4B93"/>
    <w:pPr>
      <w:tabs>
        <w:tab w:val="left" w:pos="993"/>
        <w:tab w:val="right" w:leader="dot" w:pos="9060"/>
      </w:tabs>
      <w:ind w:left="1134" w:hanging="708"/>
      <w:jc w:val="left"/>
    </w:pPr>
  </w:style>
  <w:style w:type="character" w:customStyle="1" w:styleId="Nadpis4Char">
    <w:name w:val="Nadpis 4 Char"/>
    <w:link w:val="Nadpis4"/>
    <w:rsid w:val="008B11C9"/>
    <w:rPr>
      <w:rFonts w:ascii="Cambria" w:hAnsi="Cambria"/>
      <w:color w:val="000000"/>
      <w:kern w:val="3"/>
      <w:sz w:val="24"/>
      <w:szCs w:val="28"/>
    </w:rPr>
  </w:style>
  <w:style w:type="paragraph" w:styleId="Podnadpis">
    <w:name w:val="Subtitle"/>
    <w:basedOn w:val="Odstavecseseznamem"/>
    <w:next w:val="Normln"/>
    <w:link w:val="PodnadpisChar"/>
    <w:qFormat/>
    <w:locked/>
    <w:rsid w:val="00AD2803"/>
    <w:pPr>
      <w:widowControl/>
      <w:tabs>
        <w:tab w:val="left" w:pos="284"/>
      </w:tabs>
      <w:spacing w:after="60"/>
      <w:ind w:left="0"/>
    </w:pPr>
    <w:rPr>
      <w:rFonts w:ascii="Cambria" w:hAnsi="Cambria"/>
      <w:sz w:val="28"/>
      <w:szCs w:val="24"/>
    </w:rPr>
  </w:style>
  <w:style w:type="character" w:customStyle="1" w:styleId="PodnadpisChar">
    <w:name w:val="Podnadpis Char"/>
    <w:link w:val="Podnadpis"/>
    <w:rsid w:val="00AD2803"/>
    <w:rPr>
      <w:rFonts w:ascii="Cambria" w:hAnsi="Cambria"/>
      <w:kern w:val="3"/>
      <w:sz w:val="28"/>
      <w:szCs w:val="24"/>
    </w:rPr>
  </w:style>
  <w:style w:type="paragraph" w:customStyle="1" w:styleId="151Nadpis3">
    <w:name w:val="1.5.1 Nadpis 3"/>
    <w:basedOn w:val="Normln"/>
    <w:next w:val="Normln"/>
    <w:link w:val="151Nadpis3Char"/>
    <w:rsid w:val="0031458F"/>
    <w:pPr>
      <w:numPr>
        <w:numId w:val="11"/>
      </w:numPr>
      <w:tabs>
        <w:tab w:val="left" w:pos="624"/>
      </w:tabs>
      <w:spacing w:after="60"/>
      <w:ind w:hanging="720"/>
    </w:pPr>
    <w:rPr>
      <w:rFonts w:ascii="Cambria" w:hAnsi="Cambria"/>
      <w:sz w:val="26"/>
    </w:rPr>
  </w:style>
  <w:style w:type="paragraph" w:customStyle="1" w:styleId="1511Nadpis4">
    <w:name w:val="1.5.1.1 Nadpis 4"/>
    <w:basedOn w:val="Normln"/>
    <w:next w:val="Normln"/>
    <w:link w:val="1511Nadpis4Char"/>
    <w:rsid w:val="00CC4461"/>
    <w:pPr>
      <w:numPr>
        <w:numId w:val="12"/>
      </w:numPr>
      <w:spacing w:after="60"/>
    </w:pPr>
    <w:rPr>
      <w:rFonts w:ascii="Cambria" w:hAnsi="Cambria"/>
    </w:rPr>
  </w:style>
  <w:style w:type="character" w:customStyle="1" w:styleId="151Nadpis3Char">
    <w:name w:val="1.5.1 Nadpis 3 Char"/>
    <w:link w:val="151Nadpis3"/>
    <w:rsid w:val="0031458F"/>
    <w:rPr>
      <w:rFonts w:ascii="Cambria" w:hAnsi="Cambria"/>
      <w:kern w:val="3"/>
      <w:sz w:val="26"/>
      <w:szCs w:val="22"/>
    </w:rPr>
  </w:style>
  <w:style w:type="paragraph" w:customStyle="1" w:styleId="1521">
    <w:name w:val="1.5.2.1"/>
    <w:basedOn w:val="Normln"/>
    <w:next w:val="Normln"/>
    <w:link w:val="1521Char"/>
    <w:rsid w:val="00610AF8"/>
    <w:pPr>
      <w:numPr>
        <w:numId w:val="14"/>
      </w:numPr>
      <w:spacing w:after="60"/>
    </w:pPr>
    <w:rPr>
      <w:rFonts w:ascii="Cambria" w:hAnsi="Cambria"/>
    </w:rPr>
  </w:style>
  <w:style w:type="paragraph" w:customStyle="1" w:styleId="1531">
    <w:name w:val="1.5.3.1"/>
    <w:basedOn w:val="Normln"/>
    <w:next w:val="Normln"/>
    <w:link w:val="1531Char"/>
    <w:rsid w:val="00384DAD"/>
    <w:pPr>
      <w:numPr>
        <w:numId w:val="15"/>
      </w:numPr>
      <w:spacing w:after="60"/>
    </w:pPr>
    <w:rPr>
      <w:rFonts w:ascii="Cambria" w:hAnsi="Cambria"/>
    </w:rPr>
  </w:style>
  <w:style w:type="character" w:customStyle="1" w:styleId="1511Nadpis4Char">
    <w:name w:val="1.5.1.1 Nadpis 4 Char"/>
    <w:link w:val="1511Nadpis4"/>
    <w:rsid w:val="00610AF8"/>
    <w:rPr>
      <w:rFonts w:ascii="Cambria" w:hAnsi="Cambria"/>
      <w:kern w:val="3"/>
      <w:sz w:val="24"/>
      <w:szCs w:val="22"/>
    </w:rPr>
  </w:style>
  <w:style w:type="character" w:customStyle="1" w:styleId="1521Char">
    <w:name w:val="1.5.2.1 Char"/>
    <w:link w:val="1521"/>
    <w:rsid w:val="00610AF8"/>
    <w:rPr>
      <w:rFonts w:ascii="Cambria" w:hAnsi="Cambria"/>
      <w:kern w:val="3"/>
      <w:sz w:val="24"/>
      <w:szCs w:val="22"/>
    </w:rPr>
  </w:style>
  <w:style w:type="paragraph" w:customStyle="1" w:styleId="1541">
    <w:name w:val="1.5.4.1"/>
    <w:basedOn w:val="Normln"/>
    <w:next w:val="Normln"/>
    <w:link w:val="1541Char"/>
    <w:rsid w:val="00EF7232"/>
    <w:pPr>
      <w:numPr>
        <w:numId w:val="16"/>
      </w:numPr>
      <w:spacing w:after="60"/>
    </w:pPr>
    <w:rPr>
      <w:rFonts w:ascii="Cambria" w:hAnsi="Cambria"/>
    </w:rPr>
  </w:style>
  <w:style w:type="character" w:customStyle="1" w:styleId="1531Char">
    <w:name w:val="1.5.3.1 Char"/>
    <w:link w:val="1531"/>
    <w:rsid w:val="00384DAD"/>
    <w:rPr>
      <w:rFonts w:ascii="Cambria" w:hAnsi="Cambria"/>
      <w:kern w:val="3"/>
      <w:sz w:val="24"/>
      <w:szCs w:val="22"/>
    </w:rPr>
  </w:style>
  <w:style w:type="paragraph" w:customStyle="1" w:styleId="Nadpis3bezslovn">
    <w:name w:val="Nadpis 3 bez číslování"/>
    <w:basedOn w:val="Zkladntext"/>
    <w:next w:val="Normln"/>
    <w:link w:val="Nadpis3bezslovnChar"/>
    <w:qFormat/>
    <w:rsid w:val="004C45B9"/>
    <w:pPr>
      <w:widowControl/>
      <w:tabs>
        <w:tab w:val="left" w:pos="284"/>
      </w:tabs>
      <w:spacing w:after="60"/>
      <w:jc w:val="left"/>
    </w:pPr>
    <w:rPr>
      <w:rFonts w:ascii="Cambria" w:hAnsi="Cambria"/>
      <w:sz w:val="26"/>
      <w:szCs w:val="26"/>
    </w:rPr>
  </w:style>
  <w:style w:type="character" w:customStyle="1" w:styleId="1541Char">
    <w:name w:val="1.5.4.1 Char"/>
    <w:link w:val="1541"/>
    <w:rsid w:val="00EF7232"/>
    <w:rPr>
      <w:rFonts w:ascii="Cambria" w:hAnsi="Cambria"/>
      <w:kern w:val="3"/>
      <w:sz w:val="24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311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B3112"/>
    <w:rPr>
      <w:rFonts w:ascii="Times New Roman" w:hAnsi="Times New Roman"/>
      <w:kern w:val="3"/>
      <w:sz w:val="24"/>
      <w:szCs w:val="22"/>
    </w:rPr>
  </w:style>
  <w:style w:type="character" w:styleId="Nevyeenzmnka">
    <w:name w:val="Unresolved Mention"/>
    <w:uiPriority w:val="99"/>
    <w:semiHidden/>
    <w:unhideWhenUsed/>
    <w:rsid w:val="00205344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Normln"/>
    <w:rsid w:val="00C7438C"/>
    <w:pPr>
      <w:numPr>
        <w:numId w:val="20"/>
      </w:numPr>
      <w:spacing w:before="120"/>
    </w:pPr>
    <w:rPr>
      <w:rFonts w:ascii="Cambria" w:hAnsi="Cambria"/>
      <w:b/>
      <w:sz w:val="28"/>
    </w:rPr>
  </w:style>
  <w:style w:type="paragraph" w:styleId="Obsah4">
    <w:name w:val="toc 4"/>
    <w:basedOn w:val="Normln"/>
    <w:next w:val="Normln"/>
    <w:autoRedefine/>
    <w:uiPriority w:val="39"/>
    <w:locked/>
    <w:rsid w:val="002B64CB"/>
    <w:pPr>
      <w:tabs>
        <w:tab w:val="right" w:pos="1786"/>
        <w:tab w:val="right" w:leader="dot" w:pos="9060"/>
      </w:tabs>
      <w:ind w:left="720" w:firstLine="273"/>
      <w:jc w:val="left"/>
    </w:pPr>
  </w:style>
  <w:style w:type="paragraph" w:styleId="Obsah9">
    <w:name w:val="toc 9"/>
    <w:basedOn w:val="Normln"/>
    <w:next w:val="Normln"/>
    <w:autoRedefine/>
    <w:locked/>
    <w:rsid w:val="00075821"/>
    <w:pPr>
      <w:ind w:left="1920"/>
    </w:pPr>
  </w:style>
  <w:style w:type="paragraph" w:customStyle="1" w:styleId="styl2">
    <w:name w:val="styl2"/>
    <w:basedOn w:val="Nadpis3bezslovn"/>
    <w:link w:val="styl2Char"/>
    <w:rsid w:val="00075821"/>
  </w:style>
  <w:style w:type="character" w:customStyle="1" w:styleId="Nadpis3bezslovnChar">
    <w:name w:val="Nadpis 3 bez číslování Char"/>
    <w:link w:val="Nadpis3bezslovn"/>
    <w:rsid w:val="00075821"/>
    <w:rPr>
      <w:rFonts w:ascii="Cambria" w:hAnsi="Cambria"/>
      <w:kern w:val="3"/>
      <w:sz w:val="26"/>
      <w:szCs w:val="26"/>
    </w:rPr>
  </w:style>
  <w:style w:type="character" w:customStyle="1" w:styleId="styl2Char">
    <w:name w:val="styl2 Char"/>
    <w:link w:val="styl2"/>
    <w:rsid w:val="00075821"/>
    <w:rPr>
      <w:rFonts w:ascii="Cambria" w:hAnsi="Cambria"/>
      <w:kern w:val="3"/>
      <w:sz w:val="26"/>
      <w:szCs w:val="26"/>
    </w:rPr>
  </w:style>
  <w:style w:type="paragraph" w:styleId="Nzev">
    <w:name w:val="Title"/>
    <w:basedOn w:val="Normln"/>
    <w:next w:val="Normln"/>
    <w:link w:val="NzevChar"/>
    <w:qFormat/>
    <w:locked/>
    <w:rsid w:val="005460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460C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po@cap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bnovitelne.cz/cz/clanek/566/vedecky-objev-slibuje-revoluci-v-solarni-energetice-pomoci-fotosyntez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z.cz/cs/vyzkum-a-vzdelavani/veda-a-vyzkum/aktuality-z-vyzkumu-a-vyvoje-cez/17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A601-E975-465E-8AFC-0149C79F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6593</Words>
  <Characters>38905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Smahova</dc:creator>
  <cp:keywords/>
  <dc:description/>
  <cp:lastModifiedBy>Smahova</cp:lastModifiedBy>
  <cp:revision>48</cp:revision>
  <cp:lastPrinted>2019-03-21T10:13:00Z</cp:lastPrinted>
  <dcterms:created xsi:type="dcterms:W3CDTF">2019-04-11T12:01:00Z</dcterms:created>
  <dcterms:modified xsi:type="dcterms:W3CDTF">2019-04-15T08:54:00Z</dcterms:modified>
</cp:coreProperties>
</file>